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6138" w14:textId="77777777" w:rsidR="00E33A2D" w:rsidRPr="001328C3" w:rsidRDefault="00B923E8" w:rsidP="00346C84">
      <w:pPr>
        <w:pStyle w:val="Header"/>
        <w:tabs>
          <w:tab w:val="clear" w:pos="4536"/>
          <w:tab w:val="clear" w:pos="9072"/>
          <w:tab w:val="left" w:pos="851"/>
        </w:tabs>
        <w:jc w:val="both"/>
        <w:rPr>
          <w:rFonts w:eastAsia="Times New Roman"/>
          <w:sz w:val="22"/>
          <w:szCs w:val="22"/>
          <w:lang w:val="fr-LU" w:eastAsia="en-US"/>
        </w:rPr>
      </w:pPr>
      <w:r>
        <w:rPr>
          <w:rFonts w:eastAsia="Times New Roman"/>
          <w:noProof/>
          <w:sz w:val="22"/>
          <w:szCs w:val="22"/>
          <w:lang w:val="en-US" w:eastAsia="en-US"/>
        </w:rPr>
        <w:drawing>
          <wp:inline distT="0" distB="0" distL="0" distR="0" wp14:anchorId="2091B141" wp14:editId="1049BCE5">
            <wp:extent cx="3895725" cy="9448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944880"/>
                    </a:xfrm>
                    <a:prstGeom prst="rect">
                      <a:avLst/>
                    </a:prstGeom>
                    <a:noFill/>
                  </pic:spPr>
                </pic:pic>
              </a:graphicData>
            </a:graphic>
          </wp:inline>
        </w:drawing>
      </w:r>
    </w:p>
    <w:p w14:paraId="23056EE6" w14:textId="77777777" w:rsidR="00E33A2D" w:rsidRPr="001328C3" w:rsidRDefault="00E33A2D" w:rsidP="00346C84">
      <w:pPr>
        <w:rPr>
          <w:rFonts w:eastAsia="Times New Roman"/>
          <w:sz w:val="22"/>
          <w:szCs w:val="22"/>
          <w:lang w:val="fr-LU" w:eastAsia="en-US"/>
        </w:rPr>
      </w:pPr>
    </w:p>
    <w:p w14:paraId="227C20F5" w14:textId="77777777" w:rsidR="00E33A2D" w:rsidRPr="00773D23" w:rsidRDefault="00773D23" w:rsidP="00346C84">
      <w:pPr>
        <w:rPr>
          <w:rFonts w:eastAsia="Times New Roman"/>
          <w:b/>
          <w:sz w:val="22"/>
          <w:szCs w:val="22"/>
          <w:lang w:val="fr-LU" w:eastAsia="en-US"/>
        </w:rPr>
      </w:pPr>
      <w:r>
        <w:rPr>
          <w:rFonts w:eastAsia="Times New Roman"/>
          <w:sz w:val="22"/>
          <w:szCs w:val="22"/>
          <w:lang w:val="fr-LU" w:eastAsia="en-US"/>
        </w:rPr>
        <w:t>N</w:t>
      </w:r>
      <w:r w:rsidRPr="00773D23">
        <w:rPr>
          <w:rFonts w:eastAsia="Times New Roman"/>
          <w:sz w:val="22"/>
          <w:szCs w:val="22"/>
          <w:lang w:val="fr-LU" w:eastAsia="en-US"/>
        </w:rPr>
        <w:t>° RCS</w:t>
      </w:r>
      <w:r w:rsidRPr="00773D23">
        <w:rPr>
          <w:rFonts w:eastAsia="Times New Roman"/>
          <w:b/>
          <w:sz w:val="22"/>
          <w:szCs w:val="22"/>
          <w:lang w:val="fr-LU" w:eastAsia="en-US"/>
        </w:rPr>
        <w:t xml:space="preserve"> </w:t>
      </w:r>
      <w:r w:rsidR="00A55952" w:rsidRPr="00773D23">
        <w:rPr>
          <w:rFonts w:eastAsia="Times New Roman"/>
          <w:b/>
          <w:sz w:val="22"/>
          <w:szCs w:val="22"/>
          <w:lang w:val="fr-LU" w:eastAsia="en-US"/>
        </w:rPr>
        <w:t>J58</w:t>
      </w:r>
    </w:p>
    <w:p w14:paraId="0F0921B6" w14:textId="77777777" w:rsidR="00E33A2D" w:rsidRPr="001328C3" w:rsidRDefault="00E33A2D" w:rsidP="00346C84">
      <w:pPr>
        <w:rPr>
          <w:rFonts w:eastAsia="Times New Roman"/>
          <w:sz w:val="22"/>
          <w:szCs w:val="22"/>
          <w:lang w:val="fr-LU" w:eastAsia="en-US"/>
        </w:rPr>
      </w:pPr>
    </w:p>
    <w:p w14:paraId="6C5EFA43" w14:textId="77777777" w:rsidR="00F41282" w:rsidRPr="001328C3" w:rsidRDefault="00F41282" w:rsidP="00346C84">
      <w:pPr>
        <w:rPr>
          <w:rFonts w:eastAsia="Times New Roman"/>
          <w:sz w:val="22"/>
          <w:szCs w:val="22"/>
          <w:lang w:val="fr-LU" w:eastAsia="en-US"/>
        </w:rPr>
      </w:pPr>
    </w:p>
    <w:p w14:paraId="12B3D08F" w14:textId="77777777" w:rsidR="00E33A2D" w:rsidRPr="001328C3" w:rsidRDefault="00E33A2D" w:rsidP="00346C84">
      <w:pPr>
        <w:rPr>
          <w:rFonts w:eastAsia="Times New Roman"/>
          <w:sz w:val="22"/>
          <w:szCs w:val="22"/>
          <w:lang w:val="fr-LU" w:eastAsia="en-US"/>
        </w:rPr>
      </w:pPr>
    </w:p>
    <w:p w14:paraId="1754A6F0" w14:textId="77777777" w:rsidR="0083610A" w:rsidRPr="00647F36" w:rsidRDefault="0083610A" w:rsidP="00346C84">
      <w:pPr>
        <w:pStyle w:val="Heading5"/>
        <w:rPr>
          <w:lang w:val="fr-FR"/>
        </w:rPr>
      </w:pPr>
    </w:p>
    <w:p w14:paraId="25950661" w14:textId="77777777" w:rsidR="0083610A" w:rsidRPr="00647F36" w:rsidRDefault="0083610A" w:rsidP="00346C84">
      <w:pPr>
        <w:pStyle w:val="Heading5"/>
        <w:rPr>
          <w:lang w:val="fr-FR"/>
        </w:rPr>
      </w:pPr>
    </w:p>
    <w:p w14:paraId="61226BC3" w14:textId="77777777" w:rsidR="00F41282" w:rsidRPr="00FA08C6" w:rsidRDefault="00390A02" w:rsidP="00346C84">
      <w:pPr>
        <w:pStyle w:val="Heading5"/>
        <w:rPr>
          <w:sz w:val="24"/>
          <w:szCs w:val="24"/>
          <w:lang w:val="fr-FR"/>
        </w:rPr>
      </w:pPr>
      <w:r>
        <w:rPr>
          <w:sz w:val="24"/>
          <w:szCs w:val="24"/>
          <w:lang w:val="fr-FR"/>
        </w:rPr>
        <w:t>rapport d’activit</w:t>
      </w:r>
      <w:r w:rsidR="00A47C45">
        <w:rPr>
          <w:sz w:val="24"/>
          <w:szCs w:val="24"/>
          <w:lang w:val="fr-FR"/>
        </w:rPr>
        <w:t>é</w:t>
      </w:r>
      <w:r w:rsidR="00EA5D19">
        <w:rPr>
          <w:sz w:val="24"/>
          <w:szCs w:val="24"/>
          <w:lang w:val="fr-FR"/>
        </w:rPr>
        <w:t>S</w:t>
      </w:r>
      <w:r w:rsidR="00E431A8">
        <w:rPr>
          <w:sz w:val="24"/>
          <w:szCs w:val="24"/>
          <w:lang w:val="fr-FR"/>
        </w:rPr>
        <w:t xml:space="preserve"> RElatif </w:t>
      </w:r>
      <w:r w:rsidR="00647F36">
        <w:rPr>
          <w:sz w:val="24"/>
          <w:szCs w:val="24"/>
          <w:lang w:val="fr-FR"/>
        </w:rPr>
        <w:t>a</w:t>
      </w:r>
      <w:r w:rsidR="003D7554">
        <w:rPr>
          <w:sz w:val="24"/>
          <w:szCs w:val="24"/>
          <w:lang w:val="fr-FR"/>
        </w:rPr>
        <w:t>U Premier SEMESTRE</w:t>
      </w:r>
      <w:r w:rsidR="00B31AE6">
        <w:rPr>
          <w:sz w:val="24"/>
          <w:szCs w:val="24"/>
          <w:lang w:val="fr-FR"/>
        </w:rPr>
        <w:t xml:space="preserve"> </w:t>
      </w:r>
      <w:r w:rsidR="00F074F0">
        <w:rPr>
          <w:sz w:val="24"/>
          <w:szCs w:val="24"/>
          <w:lang w:val="fr-FR"/>
        </w:rPr>
        <w:t>2020</w:t>
      </w:r>
    </w:p>
    <w:p w14:paraId="008CFE59" w14:textId="77777777" w:rsidR="00F41282" w:rsidRPr="00FA08C6" w:rsidRDefault="00F41282" w:rsidP="00346C84">
      <w:pPr>
        <w:rPr>
          <w:sz w:val="22"/>
          <w:szCs w:val="22"/>
          <w:lang w:val="fr-FR"/>
        </w:rPr>
      </w:pPr>
    </w:p>
    <w:p w14:paraId="3C063C07" w14:textId="77777777" w:rsidR="00F41282" w:rsidRPr="001328C3" w:rsidRDefault="00F41282" w:rsidP="00346C84">
      <w:pPr>
        <w:rPr>
          <w:sz w:val="22"/>
          <w:szCs w:val="22"/>
          <w:lang w:val="fr-LU" w:eastAsia="en-US"/>
        </w:rPr>
      </w:pPr>
    </w:p>
    <w:p w14:paraId="5639AC03" w14:textId="77777777" w:rsidR="00E33A2D" w:rsidRPr="001328C3" w:rsidRDefault="00E33A2D" w:rsidP="00346C84">
      <w:pPr>
        <w:jc w:val="both"/>
        <w:rPr>
          <w:rFonts w:eastAsia="Times New Roman"/>
          <w:b/>
          <w:sz w:val="22"/>
          <w:szCs w:val="22"/>
          <w:lang w:val="fr-LU" w:eastAsia="en-US"/>
        </w:rPr>
      </w:pPr>
    </w:p>
    <w:p w14:paraId="7D88E1BA" w14:textId="77777777" w:rsidR="00E33A2D" w:rsidRPr="001328C3" w:rsidRDefault="00E33A2D" w:rsidP="00346C84">
      <w:pPr>
        <w:jc w:val="both"/>
        <w:rPr>
          <w:rFonts w:eastAsia="Times New Roman"/>
          <w:b/>
          <w:sz w:val="22"/>
          <w:szCs w:val="22"/>
          <w:lang w:val="fr-LU" w:eastAsia="en-US"/>
        </w:rPr>
      </w:pPr>
    </w:p>
    <w:p w14:paraId="07489954" w14:textId="77777777" w:rsidR="00E33A2D" w:rsidRPr="001328C3" w:rsidRDefault="00E33A2D" w:rsidP="00346C84">
      <w:pPr>
        <w:rPr>
          <w:rFonts w:eastAsia="Times New Roman"/>
          <w:sz w:val="22"/>
          <w:szCs w:val="22"/>
          <w:lang w:val="fr-LU" w:eastAsia="en-US"/>
        </w:rPr>
      </w:pPr>
    </w:p>
    <w:p w14:paraId="072EEFA1" w14:textId="77777777" w:rsidR="00E33A2D" w:rsidRPr="001328C3" w:rsidRDefault="00E33A2D" w:rsidP="00346C84">
      <w:pPr>
        <w:rPr>
          <w:rFonts w:eastAsia="Times New Roman"/>
          <w:sz w:val="22"/>
          <w:szCs w:val="22"/>
          <w:lang w:val="fr-LU" w:eastAsia="en-US"/>
        </w:rPr>
      </w:pPr>
    </w:p>
    <w:p w14:paraId="2EABAB3C" w14:textId="77777777" w:rsidR="00E33A2D" w:rsidRPr="001328C3" w:rsidRDefault="00E33A2D" w:rsidP="00346C84">
      <w:pPr>
        <w:rPr>
          <w:rFonts w:eastAsia="Times New Roman"/>
          <w:sz w:val="22"/>
          <w:szCs w:val="22"/>
          <w:lang w:val="fr-LU" w:eastAsia="en-US"/>
        </w:rPr>
      </w:pPr>
    </w:p>
    <w:p w14:paraId="0AD4FC09" w14:textId="77777777" w:rsidR="00E33A2D" w:rsidRPr="001328C3" w:rsidRDefault="00E33A2D" w:rsidP="00346C84">
      <w:pPr>
        <w:rPr>
          <w:rFonts w:eastAsia="Times New Roman"/>
          <w:sz w:val="22"/>
          <w:szCs w:val="22"/>
          <w:lang w:val="fr-LU" w:eastAsia="en-US"/>
        </w:rPr>
      </w:pPr>
    </w:p>
    <w:p w14:paraId="27D59394" w14:textId="77777777" w:rsidR="00E33A2D" w:rsidRPr="001328C3" w:rsidRDefault="00E33A2D" w:rsidP="00346C84">
      <w:pPr>
        <w:rPr>
          <w:rFonts w:eastAsia="Times New Roman"/>
          <w:sz w:val="22"/>
          <w:szCs w:val="22"/>
          <w:lang w:val="fr-LU" w:eastAsia="en-US"/>
        </w:rPr>
      </w:pPr>
    </w:p>
    <w:p w14:paraId="478B51FB" w14:textId="77777777" w:rsidR="00E33A2D" w:rsidRPr="001328C3" w:rsidRDefault="00E33A2D" w:rsidP="00346C84">
      <w:pPr>
        <w:rPr>
          <w:rFonts w:eastAsia="Times New Roman"/>
          <w:sz w:val="22"/>
          <w:szCs w:val="22"/>
          <w:lang w:val="fr-LU" w:eastAsia="en-US"/>
        </w:rPr>
      </w:pPr>
    </w:p>
    <w:p w14:paraId="46D4F362" w14:textId="77777777" w:rsidR="00E33A2D" w:rsidRPr="001328C3" w:rsidRDefault="00E33A2D" w:rsidP="00346C84">
      <w:pPr>
        <w:rPr>
          <w:rFonts w:eastAsia="Times New Roman"/>
          <w:sz w:val="22"/>
          <w:szCs w:val="22"/>
          <w:lang w:val="fr-LU" w:eastAsia="en-US"/>
        </w:rPr>
      </w:pPr>
    </w:p>
    <w:p w14:paraId="7289D156" w14:textId="77777777" w:rsidR="0083610A" w:rsidRPr="001328C3" w:rsidRDefault="0083610A" w:rsidP="00346C84">
      <w:pPr>
        <w:rPr>
          <w:rFonts w:eastAsia="Times New Roman"/>
          <w:sz w:val="22"/>
          <w:szCs w:val="22"/>
          <w:lang w:val="fr-LU" w:eastAsia="en-US"/>
        </w:rPr>
      </w:pPr>
    </w:p>
    <w:p w14:paraId="2C30CF2C" w14:textId="77777777" w:rsidR="0083610A" w:rsidRPr="001328C3" w:rsidRDefault="0083610A" w:rsidP="00346C84">
      <w:pPr>
        <w:rPr>
          <w:rFonts w:eastAsia="Times New Roman"/>
          <w:sz w:val="22"/>
          <w:szCs w:val="22"/>
          <w:lang w:val="fr-LU" w:eastAsia="en-US"/>
        </w:rPr>
      </w:pPr>
    </w:p>
    <w:p w14:paraId="6788996F" w14:textId="77777777" w:rsidR="0083610A" w:rsidRPr="001328C3" w:rsidRDefault="0083610A" w:rsidP="00346C84">
      <w:pPr>
        <w:rPr>
          <w:rFonts w:eastAsia="Times New Roman"/>
          <w:sz w:val="22"/>
          <w:szCs w:val="22"/>
          <w:lang w:val="fr-LU" w:eastAsia="en-US"/>
        </w:rPr>
      </w:pPr>
    </w:p>
    <w:p w14:paraId="7E7317FA" w14:textId="77777777" w:rsidR="0083610A" w:rsidRPr="001328C3" w:rsidRDefault="00F41282" w:rsidP="00FC655B">
      <w:pPr>
        <w:pStyle w:val="Heading3"/>
        <w:pBdr>
          <w:top w:val="single" w:sz="4" w:space="1" w:color="365F91" w:themeColor="accent1" w:themeShade="BF"/>
          <w:left w:val="none" w:sz="0" w:space="0" w:color="auto"/>
        </w:pBdr>
        <w:rPr>
          <w:rFonts w:eastAsia="Times New Roman"/>
          <w:sz w:val="20"/>
          <w:szCs w:val="20"/>
          <w:lang w:val="fr-LU" w:eastAsia="en-US"/>
        </w:rPr>
      </w:pPr>
      <w:r w:rsidRPr="001328C3">
        <w:rPr>
          <w:rFonts w:eastAsia="Times New Roman"/>
          <w:sz w:val="20"/>
          <w:szCs w:val="20"/>
          <w:lang w:val="fr-LU" w:eastAsia="en-US"/>
        </w:rPr>
        <w:br w:type="page"/>
      </w:r>
    </w:p>
    <w:p w14:paraId="206BDE2A" w14:textId="77777777" w:rsidR="0083610A" w:rsidRPr="001328C3" w:rsidRDefault="0083610A" w:rsidP="00346C84">
      <w:pPr>
        <w:rPr>
          <w:rFonts w:eastAsia="Times New Roman"/>
          <w:sz w:val="22"/>
          <w:szCs w:val="22"/>
          <w:lang w:val="fr-LU" w:eastAsia="en-US"/>
        </w:rPr>
      </w:pPr>
    </w:p>
    <w:p w14:paraId="6536ACF9" w14:textId="77777777" w:rsidR="00386AA3" w:rsidRDefault="00C30BD3" w:rsidP="005C7C7F">
      <w:pPr>
        <w:pStyle w:val="Heading1"/>
        <w:rPr>
          <w:lang w:val="fr-FR"/>
        </w:rPr>
      </w:pPr>
      <w:r w:rsidRPr="005C7C7F">
        <w:rPr>
          <w:lang w:val="fr-FR"/>
        </w:rPr>
        <w:t>RAPPORT</w:t>
      </w:r>
      <w:r>
        <w:rPr>
          <w:lang w:val="fr-FR"/>
        </w:rPr>
        <w:t xml:space="preserve"> d’ACTIVITE</w:t>
      </w:r>
      <w:r w:rsidR="00EA5D19">
        <w:rPr>
          <w:lang w:val="fr-FR"/>
        </w:rPr>
        <w:t>S</w:t>
      </w:r>
      <w:r w:rsidR="00B31AE6">
        <w:rPr>
          <w:lang w:val="fr-FR"/>
        </w:rPr>
        <w:t xml:space="preserve"> </w:t>
      </w:r>
      <w:r w:rsidR="00647F36">
        <w:rPr>
          <w:lang w:val="fr-FR"/>
        </w:rPr>
        <w:t>relatif a</w:t>
      </w:r>
      <w:r w:rsidR="003D7554">
        <w:rPr>
          <w:lang w:val="fr-FR"/>
        </w:rPr>
        <w:t>U PREMIER SEMESTRE</w:t>
      </w:r>
      <w:r w:rsidR="00A42B58">
        <w:rPr>
          <w:lang w:val="fr-FR"/>
        </w:rPr>
        <w:t xml:space="preserve"> 20</w:t>
      </w:r>
      <w:r w:rsidR="00E4750E">
        <w:rPr>
          <w:lang w:val="fr-FR"/>
        </w:rPr>
        <w:t>20</w:t>
      </w:r>
    </w:p>
    <w:p w14:paraId="7D96C3BD" w14:textId="77777777" w:rsidR="005C7C7F" w:rsidRPr="00C147AD" w:rsidRDefault="00331DD3" w:rsidP="0010050D">
      <w:pPr>
        <w:pStyle w:val="Heading2"/>
        <w:rPr>
          <w:lang w:val="fr-FR"/>
        </w:rPr>
      </w:pPr>
      <w:r>
        <w:rPr>
          <w:lang w:val="fr-FR"/>
        </w:rPr>
        <w:t>Structure administrative et organisationnelle</w:t>
      </w:r>
    </w:p>
    <w:p w14:paraId="1BE03075" w14:textId="77777777" w:rsidR="00331DD3" w:rsidRDefault="00331DD3" w:rsidP="00331DD3">
      <w:pPr>
        <w:pStyle w:val="Heading4"/>
        <w:rPr>
          <w:lang w:val="fr-FR"/>
        </w:rPr>
      </w:pPr>
      <w:r>
        <w:rPr>
          <w:lang w:val="fr-FR"/>
        </w:rPr>
        <w:t>Comité de Direction</w:t>
      </w:r>
    </w:p>
    <w:p w14:paraId="65BCC628" w14:textId="77777777" w:rsidR="003818F9" w:rsidRDefault="004A0476" w:rsidP="00331DD3">
      <w:pPr>
        <w:jc w:val="both"/>
        <w:rPr>
          <w:lang w:val="fr-FR"/>
        </w:rPr>
      </w:pPr>
      <w:r w:rsidRPr="00356339">
        <w:rPr>
          <w:lang w:val="fr-FR"/>
        </w:rPr>
        <w:t>Les nominations des membres du comité directeur intervenues avec effet au 1</w:t>
      </w:r>
      <w:r w:rsidRPr="00356339">
        <w:rPr>
          <w:vertAlign w:val="superscript"/>
          <w:lang w:val="fr-FR"/>
        </w:rPr>
        <w:t>er</w:t>
      </w:r>
      <w:r w:rsidRPr="00356339">
        <w:rPr>
          <w:lang w:val="fr-FR"/>
        </w:rPr>
        <w:t xml:space="preserve"> juin 2015, et portant sur une durée de 5 ans ont été prolongées jusqu’au 31 octobre 2020 en vertu de l’article 8, paragraphe 2, de la loi du 12 mai 2020 portant adaptation de certains délais en matière fiscale, financière et budgétaire dans le contexte de l’état de crise.</w:t>
      </w:r>
      <w:r w:rsidRPr="004A0476">
        <w:rPr>
          <w:lang w:val="fr-FR"/>
        </w:rPr>
        <w:t xml:space="preserve"> </w:t>
      </w:r>
    </w:p>
    <w:p w14:paraId="02AFC9A8" w14:textId="0CD0C12E" w:rsidR="00331DD3" w:rsidRDefault="003818F9" w:rsidP="00331DD3">
      <w:pPr>
        <w:jc w:val="both"/>
        <w:rPr>
          <w:lang w:val="fr-FR"/>
        </w:rPr>
      </w:pPr>
      <w:r>
        <w:rPr>
          <w:lang w:val="fr-FR"/>
        </w:rPr>
        <w:t>Au</w:t>
      </w:r>
      <w:r w:rsidR="00331DD3">
        <w:rPr>
          <w:lang w:val="fr-FR"/>
        </w:rPr>
        <w:t xml:space="preserve"> 3</w:t>
      </w:r>
      <w:r w:rsidR="003D7554">
        <w:rPr>
          <w:lang w:val="fr-FR"/>
        </w:rPr>
        <w:t>0 juin</w:t>
      </w:r>
      <w:r w:rsidR="00331DD3">
        <w:rPr>
          <w:lang w:val="fr-FR"/>
        </w:rPr>
        <w:t xml:space="preserve"> 20</w:t>
      </w:r>
      <w:r w:rsidR="00E4750E">
        <w:rPr>
          <w:lang w:val="fr-FR"/>
        </w:rPr>
        <w:t>20</w:t>
      </w:r>
      <w:r w:rsidR="00331DD3">
        <w:rPr>
          <w:lang w:val="fr-FR"/>
        </w:rPr>
        <w:t>, le comité directeur du Fonds souverain est</w:t>
      </w:r>
      <w:r w:rsidR="00600276">
        <w:rPr>
          <w:lang w:val="fr-FR"/>
        </w:rPr>
        <w:t xml:space="preserve"> </w:t>
      </w:r>
      <w:r w:rsidR="00331DD3">
        <w:rPr>
          <w:lang w:val="fr-FR"/>
        </w:rPr>
        <w:t>composé des membres suivants :</w:t>
      </w:r>
    </w:p>
    <w:p w14:paraId="2CD7DAA5" w14:textId="77777777" w:rsidR="00E4750E" w:rsidRPr="005F53F2" w:rsidRDefault="00E4750E" w:rsidP="00E4750E">
      <w:pPr>
        <w:numPr>
          <w:ilvl w:val="0"/>
          <w:numId w:val="34"/>
        </w:numPr>
        <w:contextualSpacing/>
        <w:jc w:val="both"/>
        <w:rPr>
          <w:lang w:val="fr-FR"/>
        </w:rPr>
      </w:pPr>
      <w:r w:rsidRPr="005F53F2">
        <w:rPr>
          <w:lang w:val="fr-FR"/>
        </w:rPr>
        <w:t>M</w:t>
      </w:r>
      <w:r>
        <w:rPr>
          <w:lang w:val="fr-FR"/>
        </w:rPr>
        <w:t>.</w:t>
      </w:r>
      <w:r w:rsidRPr="005F53F2">
        <w:rPr>
          <w:lang w:val="fr-FR"/>
        </w:rPr>
        <w:t xml:space="preserve"> Nima Ahmadzadeh, Président,</w:t>
      </w:r>
    </w:p>
    <w:p w14:paraId="6FEBB0A7" w14:textId="77777777" w:rsidR="00E4750E" w:rsidRPr="005F53F2" w:rsidRDefault="00E4750E" w:rsidP="00E4750E">
      <w:pPr>
        <w:numPr>
          <w:ilvl w:val="0"/>
          <w:numId w:val="34"/>
        </w:numPr>
        <w:contextualSpacing/>
        <w:jc w:val="both"/>
        <w:rPr>
          <w:lang w:val="fr-FR"/>
        </w:rPr>
      </w:pPr>
      <w:r w:rsidRPr="005F53F2">
        <w:rPr>
          <w:lang w:val="fr-FR"/>
        </w:rPr>
        <w:t>M</w:t>
      </w:r>
      <w:r>
        <w:rPr>
          <w:lang w:val="fr-FR"/>
        </w:rPr>
        <w:t>.</w:t>
      </w:r>
      <w:r w:rsidRPr="005F53F2">
        <w:rPr>
          <w:lang w:val="fr-FR"/>
        </w:rPr>
        <w:t xml:space="preserve"> Robert Kieffer, Vice-Président,</w:t>
      </w:r>
    </w:p>
    <w:p w14:paraId="3FE4D6CD" w14:textId="7838A3A4" w:rsidR="00E4750E" w:rsidRPr="005F53F2" w:rsidRDefault="00E4750E" w:rsidP="00E4750E">
      <w:pPr>
        <w:numPr>
          <w:ilvl w:val="0"/>
          <w:numId w:val="34"/>
        </w:numPr>
        <w:contextualSpacing/>
        <w:rPr>
          <w:lang w:val="fr-FR"/>
        </w:rPr>
      </w:pPr>
      <w:r w:rsidRPr="005F53F2">
        <w:rPr>
          <w:lang w:val="fr-FR"/>
        </w:rPr>
        <w:t xml:space="preserve">Mme Marie-Anne </w:t>
      </w:r>
      <w:proofErr w:type="spellStart"/>
      <w:r w:rsidRPr="005F53F2">
        <w:rPr>
          <w:lang w:val="fr-FR"/>
        </w:rPr>
        <w:t>Ketter</w:t>
      </w:r>
      <w:proofErr w:type="spellEnd"/>
      <w:r w:rsidRPr="005F53F2">
        <w:rPr>
          <w:lang w:val="fr-FR"/>
        </w:rPr>
        <w:t>,</w:t>
      </w:r>
    </w:p>
    <w:p w14:paraId="4911521C" w14:textId="77777777" w:rsidR="00E4750E" w:rsidRPr="005F53F2" w:rsidRDefault="00E4750E" w:rsidP="00E4750E">
      <w:pPr>
        <w:numPr>
          <w:ilvl w:val="0"/>
          <w:numId w:val="34"/>
        </w:numPr>
        <w:contextualSpacing/>
        <w:jc w:val="both"/>
        <w:rPr>
          <w:lang w:val="fr-FR"/>
        </w:rPr>
      </w:pPr>
      <w:r w:rsidRPr="005F53F2">
        <w:rPr>
          <w:lang w:val="fr-FR"/>
        </w:rPr>
        <w:t>M</w:t>
      </w:r>
      <w:r>
        <w:rPr>
          <w:lang w:val="fr-FR"/>
        </w:rPr>
        <w:t>.</w:t>
      </w:r>
      <w:r w:rsidRPr="005F53F2">
        <w:rPr>
          <w:lang w:val="fr-FR"/>
        </w:rPr>
        <w:t xml:space="preserve"> Claude Kremer,</w:t>
      </w:r>
    </w:p>
    <w:p w14:paraId="3887DBA2" w14:textId="77777777" w:rsidR="00E4750E" w:rsidRPr="00E4750E" w:rsidRDefault="00E4750E" w:rsidP="00E4750E">
      <w:pPr>
        <w:numPr>
          <w:ilvl w:val="0"/>
          <w:numId w:val="34"/>
        </w:numPr>
        <w:contextualSpacing/>
        <w:jc w:val="both"/>
        <w:rPr>
          <w:rFonts w:cstheme="minorHAnsi"/>
          <w:lang w:val="fr-FR"/>
        </w:rPr>
      </w:pPr>
      <w:r w:rsidRPr="005F53F2">
        <w:rPr>
          <w:lang w:val="fr-FR"/>
        </w:rPr>
        <w:t>Mme Pascale Toussing.</w:t>
      </w:r>
    </w:p>
    <w:p w14:paraId="4F019910" w14:textId="77777777" w:rsidR="00E4750E" w:rsidRPr="005F53F2" w:rsidRDefault="00E4750E" w:rsidP="00E4750E">
      <w:pPr>
        <w:ind w:left="720"/>
        <w:contextualSpacing/>
        <w:jc w:val="both"/>
        <w:rPr>
          <w:rFonts w:cstheme="minorHAnsi"/>
          <w:lang w:val="fr-FR"/>
        </w:rPr>
      </w:pPr>
    </w:p>
    <w:p w14:paraId="0B59D208" w14:textId="4043FBCB" w:rsidR="00D36241" w:rsidRDefault="00D40F9E" w:rsidP="00D40F9E">
      <w:pPr>
        <w:jc w:val="both"/>
        <w:rPr>
          <w:lang w:val="fr-FR"/>
        </w:rPr>
      </w:pPr>
      <w:r>
        <w:rPr>
          <w:lang w:val="fr-FR"/>
        </w:rPr>
        <w:t>Le comité directeur</w:t>
      </w:r>
      <w:r w:rsidR="00FE7E45">
        <w:rPr>
          <w:lang w:val="fr-FR"/>
        </w:rPr>
        <w:t xml:space="preserve"> a tenu</w:t>
      </w:r>
      <w:r>
        <w:rPr>
          <w:lang w:val="fr-FR"/>
        </w:rPr>
        <w:t xml:space="preserve"> </w:t>
      </w:r>
      <w:r w:rsidR="00F54368">
        <w:rPr>
          <w:lang w:val="fr-FR"/>
        </w:rPr>
        <w:t>deux réunions</w:t>
      </w:r>
      <w:r w:rsidRPr="00D40F9E">
        <w:rPr>
          <w:lang w:val="fr-FR"/>
        </w:rPr>
        <w:t xml:space="preserve"> au premier semestre</w:t>
      </w:r>
      <w:r w:rsidR="00E4750E">
        <w:rPr>
          <w:lang w:val="fr-FR"/>
        </w:rPr>
        <w:t xml:space="preserve"> 2020</w:t>
      </w:r>
      <w:r w:rsidR="001931E4">
        <w:rPr>
          <w:lang w:val="fr-FR"/>
        </w:rPr>
        <w:t>,</w:t>
      </w:r>
      <w:r w:rsidRPr="00D40F9E">
        <w:rPr>
          <w:lang w:val="fr-FR"/>
        </w:rPr>
        <w:t xml:space="preserve"> en présence du comité d’investissement.</w:t>
      </w:r>
    </w:p>
    <w:p w14:paraId="0FDB40DF" w14:textId="77777777" w:rsidR="00331DD3" w:rsidRPr="00C147AD" w:rsidRDefault="00331DD3" w:rsidP="00331DD3">
      <w:pPr>
        <w:pStyle w:val="Heading4"/>
        <w:rPr>
          <w:rFonts w:cstheme="minorHAnsi"/>
          <w:lang w:val="fr-FR"/>
        </w:rPr>
      </w:pPr>
      <w:r w:rsidRPr="00C147AD">
        <w:rPr>
          <w:lang w:val="fr-FR"/>
        </w:rPr>
        <w:t>COMITE</w:t>
      </w:r>
      <w:r w:rsidRPr="00C147AD">
        <w:rPr>
          <w:rFonts w:cstheme="minorHAnsi"/>
          <w:lang w:val="fr-FR"/>
        </w:rPr>
        <w:t xml:space="preserve"> D’investissement</w:t>
      </w:r>
    </w:p>
    <w:p w14:paraId="1EB42EA1" w14:textId="22021550" w:rsidR="004A0476" w:rsidRPr="004A0476" w:rsidRDefault="003818F9" w:rsidP="004A0476">
      <w:pPr>
        <w:jc w:val="both"/>
        <w:rPr>
          <w:rFonts w:cstheme="minorHAnsi"/>
          <w:lang w:val="fr-FR"/>
        </w:rPr>
      </w:pPr>
      <w:r w:rsidRPr="00356339">
        <w:rPr>
          <w:rFonts w:cstheme="minorHAnsi"/>
          <w:lang w:val="fr-FR"/>
        </w:rPr>
        <w:t>Dans le contexte de l’état de crise, l</w:t>
      </w:r>
      <w:r w:rsidR="004A0476" w:rsidRPr="00356339">
        <w:rPr>
          <w:rFonts w:cstheme="minorHAnsi"/>
          <w:lang w:val="fr-FR"/>
        </w:rPr>
        <w:t xml:space="preserve">es mandats des membres du comité d’investissement </w:t>
      </w:r>
      <w:r w:rsidR="00B9738C" w:rsidRPr="00356339">
        <w:rPr>
          <w:rFonts w:cstheme="minorHAnsi"/>
          <w:lang w:val="fr-FR"/>
        </w:rPr>
        <w:t>expirant le 1</w:t>
      </w:r>
      <w:r w:rsidR="00B9738C" w:rsidRPr="00356339">
        <w:rPr>
          <w:rFonts w:cstheme="minorHAnsi"/>
          <w:vertAlign w:val="superscript"/>
          <w:lang w:val="fr-FR"/>
        </w:rPr>
        <w:t>er</w:t>
      </w:r>
      <w:r w:rsidR="00B9738C" w:rsidRPr="00356339">
        <w:rPr>
          <w:rFonts w:cstheme="minorHAnsi"/>
          <w:lang w:val="fr-FR"/>
        </w:rPr>
        <w:t xml:space="preserve"> juin 2020 </w:t>
      </w:r>
      <w:r w:rsidR="004A0476" w:rsidRPr="00356339">
        <w:rPr>
          <w:rFonts w:cstheme="minorHAnsi"/>
          <w:lang w:val="fr-FR"/>
        </w:rPr>
        <w:t xml:space="preserve">ont </w:t>
      </w:r>
      <w:r w:rsidR="00B9738C" w:rsidRPr="00356339">
        <w:rPr>
          <w:rFonts w:cstheme="minorHAnsi"/>
          <w:lang w:val="fr-FR"/>
        </w:rPr>
        <w:t xml:space="preserve">également </w:t>
      </w:r>
      <w:r w:rsidR="004A0476" w:rsidRPr="00356339">
        <w:rPr>
          <w:rFonts w:cstheme="minorHAnsi"/>
          <w:lang w:val="fr-FR"/>
        </w:rPr>
        <w:t>été prolongés jusqu’au 31 octobre 2020.</w:t>
      </w:r>
      <w:bookmarkStart w:id="0" w:name="_GoBack"/>
      <w:bookmarkEnd w:id="0"/>
    </w:p>
    <w:p w14:paraId="695454D2" w14:textId="77777777" w:rsidR="00331DD3" w:rsidRPr="00C147AD" w:rsidRDefault="00331DD3" w:rsidP="00331DD3">
      <w:pPr>
        <w:jc w:val="both"/>
        <w:rPr>
          <w:rFonts w:cstheme="minorHAnsi"/>
          <w:lang w:val="fr-FR"/>
        </w:rPr>
      </w:pPr>
      <w:r w:rsidRPr="00C147AD">
        <w:rPr>
          <w:rFonts w:cstheme="minorHAnsi"/>
          <w:lang w:val="fr-FR"/>
        </w:rPr>
        <w:t>Au 3</w:t>
      </w:r>
      <w:r w:rsidR="003D7554">
        <w:rPr>
          <w:rFonts w:cstheme="minorHAnsi"/>
          <w:lang w:val="fr-FR"/>
        </w:rPr>
        <w:t>0 juin</w:t>
      </w:r>
      <w:r w:rsidRPr="00C147AD">
        <w:rPr>
          <w:rFonts w:cstheme="minorHAnsi"/>
          <w:lang w:val="fr-FR"/>
        </w:rPr>
        <w:t xml:space="preserve"> 20</w:t>
      </w:r>
      <w:r w:rsidR="00E4750E">
        <w:rPr>
          <w:rFonts w:cstheme="minorHAnsi"/>
          <w:lang w:val="fr-FR"/>
        </w:rPr>
        <w:t>20</w:t>
      </w:r>
      <w:r w:rsidRPr="00C147AD">
        <w:rPr>
          <w:rFonts w:cstheme="minorHAnsi"/>
          <w:lang w:val="fr-FR"/>
        </w:rPr>
        <w:t>, le comité d’investissement du Fonds souverain est composé des membres suivants :</w:t>
      </w:r>
    </w:p>
    <w:p w14:paraId="6346E3C3" w14:textId="77777777" w:rsidR="00E4750E" w:rsidRPr="00E4750E" w:rsidRDefault="00E4750E" w:rsidP="00E4750E">
      <w:pPr>
        <w:pStyle w:val="ListParagraph"/>
        <w:numPr>
          <w:ilvl w:val="0"/>
          <w:numId w:val="34"/>
        </w:numPr>
        <w:rPr>
          <w:lang w:val="fr-FR"/>
        </w:rPr>
      </w:pPr>
      <w:r w:rsidRPr="00E4750E">
        <w:rPr>
          <w:lang w:val="fr-FR"/>
        </w:rPr>
        <w:t>M.</w:t>
      </w:r>
      <w:r>
        <w:rPr>
          <w:lang w:val="fr-FR"/>
        </w:rPr>
        <w:t xml:space="preserve"> Nima Ahmadzadeh, Président du comité directeur,</w:t>
      </w:r>
    </w:p>
    <w:p w14:paraId="319CAA20" w14:textId="77777777" w:rsidR="00331DD3" w:rsidRPr="00C147AD" w:rsidRDefault="00331DD3" w:rsidP="00331DD3">
      <w:pPr>
        <w:pStyle w:val="ListParagraph"/>
        <w:numPr>
          <w:ilvl w:val="0"/>
          <w:numId w:val="34"/>
        </w:numPr>
        <w:jc w:val="both"/>
        <w:rPr>
          <w:lang w:val="fr-FR"/>
        </w:rPr>
      </w:pPr>
      <w:r w:rsidRPr="00C147AD">
        <w:rPr>
          <w:lang w:val="fr-FR"/>
        </w:rPr>
        <w:t>M</w:t>
      </w:r>
      <w:r w:rsidR="00381568">
        <w:rPr>
          <w:lang w:val="fr-FR"/>
        </w:rPr>
        <w:t>.</w:t>
      </w:r>
      <w:r w:rsidRPr="00C147AD">
        <w:rPr>
          <w:lang w:val="fr-FR"/>
        </w:rPr>
        <w:t xml:space="preserve"> André Birget, membre externe</w:t>
      </w:r>
      <w:r w:rsidR="00381568">
        <w:rPr>
          <w:lang w:val="fr-FR"/>
        </w:rPr>
        <w:t>,</w:t>
      </w:r>
    </w:p>
    <w:p w14:paraId="623751E2" w14:textId="77777777" w:rsidR="00331DD3" w:rsidRPr="00381568" w:rsidRDefault="00331DD3" w:rsidP="00331DD3">
      <w:pPr>
        <w:pStyle w:val="ListParagraph"/>
        <w:numPr>
          <w:ilvl w:val="0"/>
          <w:numId w:val="34"/>
        </w:numPr>
        <w:jc w:val="both"/>
        <w:rPr>
          <w:lang w:val="en-US"/>
        </w:rPr>
      </w:pPr>
      <w:r w:rsidRPr="00381568">
        <w:rPr>
          <w:lang w:val="en-US"/>
        </w:rPr>
        <w:t>M</w:t>
      </w:r>
      <w:r w:rsidR="00381568">
        <w:rPr>
          <w:lang w:val="en-US"/>
        </w:rPr>
        <w:t>.</w:t>
      </w:r>
      <w:r w:rsidRPr="00381568">
        <w:rPr>
          <w:lang w:val="en-US"/>
        </w:rPr>
        <w:t xml:space="preserve"> John Holloway, </w:t>
      </w:r>
      <w:proofErr w:type="spellStart"/>
      <w:r w:rsidRPr="00381568">
        <w:rPr>
          <w:lang w:val="en-US"/>
        </w:rPr>
        <w:t>membre</w:t>
      </w:r>
      <w:proofErr w:type="spellEnd"/>
      <w:r w:rsidRPr="00381568">
        <w:rPr>
          <w:lang w:val="en-US"/>
        </w:rPr>
        <w:t xml:space="preserve"> </w:t>
      </w:r>
      <w:proofErr w:type="spellStart"/>
      <w:r w:rsidRPr="00381568">
        <w:rPr>
          <w:lang w:val="en-US"/>
        </w:rPr>
        <w:t>externe</w:t>
      </w:r>
      <w:proofErr w:type="spellEnd"/>
      <w:r w:rsidR="00381568" w:rsidRPr="00381568">
        <w:rPr>
          <w:lang w:val="en-US"/>
        </w:rPr>
        <w:t>,</w:t>
      </w:r>
    </w:p>
    <w:p w14:paraId="7F4D3725" w14:textId="77777777" w:rsidR="00331DD3" w:rsidRPr="00C147AD" w:rsidRDefault="00331DD3" w:rsidP="00331DD3">
      <w:pPr>
        <w:pStyle w:val="ListParagraph"/>
        <w:numPr>
          <w:ilvl w:val="0"/>
          <w:numId w:val="34"/>
        </w:numPr>
        <w:jc w:val="both"/>
        <w:rPr>
          <w:lang w:val="fr-FR"/>
        </w:rPr>
      </w:pPr>
      <w:r w:rsidRPr="00C147AD">
        <w:rPr>
          <w:lang w:val="fr-FR"/>
        </w:rPr>
        <w:t>M</w:t>
      </w:r>
      <w:r w:rsidR="00381568">
        <w:rPr>
          <w:lang w:val="fr-FR"/>
        </w:rPr>
        <w:t>.</w:t>
      </w:r>
      <w:r w:rsidRPr="00C147AD">
        <w:rPr>
          <w:lang w:val="fr-FR"/>
        </w:rPr>
        <w:t xml:space="preserve"> Aly </w:t>
      </w:r>
      <w:proofErr w:type="spellStart"/>
      <w:r w:rsidRPr="00C147AD">
        <w:rPr>
          <w:lang w:val="fr-FR"/>
        </w:rPr>
        <w:t>Kohll</w:t>
      </w:r>
      <w:proofErr w:type="spellEnd"/>
      <w:r w:rsidRPr="00C147AD">
        <w:rPr>
          <w:lang w:val="fr-FR"/>
        </w:rPr>
        <w:t>, membre externe</w:t>
      </w:r>
      <w:r w:rsidR="00381568">
        <w:rPr>
          <w:lang w:val="fr-FR"/>
        </w:rPr>
        <w:t>.</w:t>
      </w:r>
    </w:p>
    <w:p w14:paraId="504983CC" w14:textId="77777777" w:rsidR="00D36241" w:rsidRDefault="00D36241" w:rsidP="00D36241">
      <w:pPr>
        <w:jc w:val="both"/>
        <w:rPr>
          <w:lang w:val="fr-FR"/>
        </w:rPr>
      </w:pPr>
      <w:r w:rsidRPr="00D45E2D">
        <w:rPr>
          <w:lang w:val="fr-FR"/>
        </w:rPr>
        <w:t xml:space="preserve">Le comité d’investissement </w:t>
      </w:r>
      <w:r w:rsidR="009B3548">
        <w:rPr>
          <w:lang w:val="fr-FR"/>
        </w:rPr>
        <w:t xml:space="preserve">a </w:t>
      </w:r>
      <w:r>
        <w:rPr>
          <w:lang w:val="fr-FR"/>
        </w:rPr>
        <w:t xml:space="preserve">participé </w:t>
      </w:r>
      <w:r w:rsidR="00A502FB">
        <w:rPr>
          <w:lang w:val="fr-FR"/>
        </w:rPr>
        <w:t xml:space="preserve">aux </w:t>
      </w:r>
      <w:r w:rsidR="00F16FB3">
        <w:rPr>
          <w:lang w:val="fr-FR"/>
        </w:rPr>
        <w:t xml:space="preserve">deux </w:t>
      </w:r>
      <w:r>
        <w:rPr>
          <w:lang w:val="fr-FR"/>
        </w:rPr>
        <w:t>réunion</w:t>
      </w:r>
      <w:r w:rsidR="001C77BC">
        <w:rPr>
          <w:lang w:val="fr-FR"/>
        </w:rPr>
        <w:t>s</w:t>
      </w:r>
      <w:r>
        <w:rPr>
          <w:lang w:val="fr-FR"/>
        </w:rPr>
        <w:t xml:space="preserve"> du comité directeur.</w:t>
      </w:r>
      <w:r w:rsidR="00A502FB" w:rsidRPr="00A502FB">
        <w:rPr>
          <w:rFonts w:cstheme="minorHAnsi"/>
          <w:lang w:val="fr-FR"/>
        </w:rPr>
        <w:t xml:space="preserve"> </w:t>
      </w:r>
      <w:r w:rsidR="00A502FB" w:rsidRPr="00A502FB">
        <w:rPr>
          <w:lang w:val="fr-FR"/>
        </w:rPr>
        <w:t xml:space="preserve">Les membres du comité d’investissement ont eu des échanges réguliers sur l’évolution des marchés et du portefeuille au cours </w:t>
      </w:r>
      <w:r w:rsidR="00A502FB">
        <w:rPr>
          <w:lang w:val="fr-FR"/>
        </w:rPr>
        <w:t>du premier semestre</w:t>
      </w:r>
      <w:r w:rsidR="00A502FB" w:rsidRPr="00A502FB">
        <w:rPr>
          <w:lang w:val="fr-FR"/>
        </w:rPr>
        <w:t xml:space="preserve"> 20</w:t>
      </w:r>
      <w:r w:rsidR="00A502FB">
        <w:rPr>
          <w:lang w:val="fr-FR"/>
        </w:rPr>
        <w:t>20</w:t>
      </w:r>
      <w:r w:rsidR="00A502FB" w:rsidRPr="00A502FB">
        <w:rPr>
          <w:lang w:val="fr-FR"/>
        </w:rPr>
        <w:t xml:space="preserve">. </w:t>
      </w:r>
      <w:r w:rsidR="00A502FB" w:rsidRPr="00A502FB">
        <w:rPr>
          <w:lang w:val="lb-LU"/>
        </w:rPr>
        <w:t xml:space="preserve"> </w:t>
      </w:r>
    </w:p>
    <w:p w14:paraId="2F51FE9B" w14:textId="77777777" w:rsidR="005C7C7F" w:rsidRDefault="00A276E7" w:rsidP="00331DD3">
      <w:pPr>
        <w:pStyle w:val="Heading4"/>
        <w:rPr>
          <w:lang w:val="fr-FR"/>
        </w:rPr>
      </w:pPr>
      <w:r>
        <w:rPr>
          <w:lang w:val="fr-FR"/>
        </w:rPr>
        <w:t>Contrats</w:t>
      </w:r>
      <w:r w:rsidR="007112D4">
        <w:rPr>
          <w:lang w:val="fr-FR"/>
        </w:rPr>
        <w:t xml:space="preserve"> et comptab</w:t>
      </w:r>
      <w:r>
        <w:rPr>
          <w:lang w:val="fr-FR"/>
        </w:rPr>
        <w:t>ilité</w:t>
      </w:r>
    </w:p>
    <w:p w14:paraId="77A13D72" w14:textId="77777777" w:rsidR="002B5F76" w:rsidRPr="002B5F76" w:rsidRDefault="002B5F76" w:rsidP="002B5F76">
      <w:pPr>
        <w:jc w:val="both"/>
        <w:rPr>
          <w:lang w:val="fr-FR"/>
        </w:rPr>
      </w:pPr>
      <w:r w:rsidRPr="002B5F76">
        <w:rPr>
          <w:lang w:val="fr-FR"/>
        </w:rPr>
        <w:t>Le comité directeur a adopté les comptes financiers 201</w:t>
      </w:r>
      <w:r w:rsidR="006B1474">
        <w:rPr>
          <w:lang w:val="fr-FR"/>
        </w:rPr>
        <w:t>9</w:t>
      </w:r>
      <w:r w:rsidRPr="002B5F76">
        <w:rPr>
          <w:lang w:val="fr-FR"/>
        </w:rPr>
        <w:t xml:space="preserve"> et le rapport d’activité 201</w:t>
      </w:r>
      <w:r w:rsidR="006B1474">
        <w:rPr>
          <w:lang w:val="fr-FR"/>
        </w:rPr>
        <w:t>9</w:t>
      </w:r>
      <w:r w:rsidRPr="002B5F76">
        <w:rPr>
          <w:lang w:val="fr-FR"/>
        </w:rPr>
        <w:t xml:space="preserve"> du Fonds souverain </w:t>
      </w:r>
      <w:r w:rsidR="00817D09">
        <w:rPr>
          <w:lang w:val="fr-FR"/>
        </w:rPr>
        <w:t>dans sa réunion du 2 mars 2020</w:t>
      </w:r>
      <w:r w:rsidRPr="002B5F76">
        <w:rPr>
          <w:lang w:val="fr-FR"/>
        </w:rPr>
        <w:t>.</w:t>
      </w:r>
    </w:p>
    <w:p w14:paraId="7FBF4701" w14:textId="01DBADC3" w:rsidR="002B5F76" w:rsidRDefault="002B5F76" w:rsidP="002B5F76">
      <w:pPr>
        <w:jc w:val="both"/>
        <w:rPr>
          <w:lang w:val="fr-FR"/>
        </w:rPr>
      </w:pPr>
      <w:r w:rsidRPr="002B5F76">
        <w:rPr>
          <w:lang w:val="fr-FR"/>
        </w:rPr>
        <w:t xml:space="preserve">Le comité directeur a </w:t>
      </w:r>
      <w:r w:rsidR="00576AC9">
        <w:rPr>
          <w:lang w:val="fr-FR"/>
        </w:rPr>
        <w:t xml:space="preserve">adressé </w:t>
      </w:r>
      <w:r w:rsidR="00817D09">
        <w:rPr>
          <w:lang w:val="fr-FR"/>
        </w:rPr>
        <w:t>début mars 2020</w:t>
      </w:r>
      <w:r w:rsidR="00576AC9">
        <w:rPr>
          <w:lang w:val="fr-FR"/>
        </w:rPr>
        <w:t xml:space="preserve"> </w:t>
      </w:r>
      <w:r w:rsidRPr="002B5F76">
        <w:rPr>
          <w:lang w:val="fr-FR"/>
        </w:rPr>
        <w:t>les comptes financiers 201</w:t>
      </w:r>
      <w:r w:rsidR="0026631A">
        <w:rPr>
          <w:lang w:val="fr-FR"/>
        </w:rPr>
        <w:t>9</w:t>
      </w:r>
      <w:r w:rsidRPr="002B5F76">
        <w:rPr>
          <w:lang w:val="fr-FR"/>
        </w:rPr>
        <w:t xml:space="preserve"> du Fonds souverain </w:t>
      </w:r>
      <w:r w:rsidR="0074313B">
        <w:rPr>
          <w:lang w:val="fr-FR"/>
        </w:rPr>
        <w:t>vérifié</w:t>
      </w:r>
      <w:r w:rsidR="0074313B" w:rsidRPr="002B5F76">
        <w:rPr>
          <w:lang w:val="fr-FR"/>
        </w:rPr>
        <w:t xml:space="preserve">s </w:t>
      </w:r>
      <w:r w:rsidRPr="002B5F76">
        <w:rPr>
          <w:lang w:val="fr-FR"/>
        </w:rPr>
        <w:t>par PricewaterhouseCoopers Luxembourg pour approbation au Conseil de gouvernement. Les comptes financiers 201</w:t>
      </w:r>
      <w:r w:rsidR="00817D09">
        <w:rPr>
          <w:lang w:val="fr-FR"/>
        </w:rPr>
        <w:t xml:space="preserve">9 </w:t>
      </w:r>
      <w:r w:rsidRPr="002B5F76">
        <w:rPr>
          <w:lang w:val="fr-FR"/>
        </w:rPr>
        <w:t xml:space="preserve">du Fonds souverain ont été approuvés par le Conseil de gouvernement dans sa séance </w:t>
      </w:r>
      <w:r w:rsidR="0026631A">
        <w:rPr>
          <w:lang w:val="fr-FR"/>
        </w:rPr>
        <w:t>du 25 mars 2020</w:t>
      </w:r>
      <w:r w:rsidRPr="002B5F76">
        <w:rPr>
          <w:lang w:val="fr-FR"/>
        </w:rPr>
        <w:t>. Le Conseil de gouvernement a également pris acte du rapport d’activité 201</w:t>
      </w:r>
      <w:r w:rsidR="0026631A">
        <w:rPr>
          <w:lang w:val="fr-FR"/>
        </w:rPr>
        <w:t>9</w:t>
      </w:r>
      <w:r w:rsidRPr="002B5F76">
        <w:rPr>
          <w:lang w:val="fr-FR"/>
        </w:rPr>
        <w:t xml:space="preserve"> qui lui a été soumis pour information ensemble avec les comptes financiers 201</w:t>
      </w:r>
      <w:r w:rsidR="0026631A">
        <w:rPr>
          <w:lang w:val="fr-FR"/>
        </w:rPr>
        <w:t>9</w:t>
      </w:r>
      <w:r w:rsidRPr="002B5F76">
        <w:rPr>
          <w:lang w:val="fr-FR"/>
        </w:rPr>
        <w:t xml:space="preserve">. </w:t>
      </w:r>
      <w:r w:rsidR="00381568">
        <w:rPr>
          <w:lang w:val="fr-FR"/>
        </w:rPr>
        <w:t>En application de</w:t>
      </w:r>
      <w:r w:rsidRPr="002B5F76">
        <w:rPr>
          <w:lang w:val="fr-FR"/>
        </w:rPr>
        <w:t xml:space="preserve"> l’article 1</w:t>
      </w:r>
      <w:r w:rsidRPr="002B5F76">
        <w:rPr>
          <w:vertAlign w:val="superscript"/>
          <w:lang w:val="fr-FR"/>
        </w:rPr>
        <w:t>er</w:t>
      </w:r>
      <w:r w:rsidRPr="002B5F76">
        <w:rPr>
          <w:lang w:val="fr-FR"/>
        </w:rPr>
        <w:t xml:space="preserve">, </w:t>
      </w:r>
      <w:r w:rsidRPr="002B5F76">
        <w:rPr>
          <w:lang w:val="fr-FR"/>
        </w:rPr>
        <w:lastRenderedPageBreak/>
        <w:t>paragraphe 3, alinéa 3, de la loi du 19 décembre 2014</w:t>
      </w:r>
      <w:r w:rsidR="0074313B" w:rsidRPr="0074313B">
        <w:rPr>
          <w:lang w:val="fr-FR"/>
        </w:rPr>
        <w:t xml:space="preserve"> relative à la mise en œuvre du paquet d’avenir - première partie (2015)</w:t>
      </w:r>
      <w:r w:rsidRPr="002B5F76">
        <w:rPr>
          <w:lang w:val="fr-FR"/>
        </w:rPr>
        <w:t>, les comptes financiers ont été publié</w:t>
      </w:r>
      <w:r w:rsidR="00381568">
        <w:rPr>
          <w:lang w:val="fr-FR"/>
        </w:rPr>
        <w:t>s</w:t>
      </w:r>
      <w:r w:rsidRPr="002B5F76">
        <w:rPr>
          <w:lang w:val="fr-FR"/>
        </w:rPr>
        <w:t xml:space="preserve"> </w:t>
      </w:r>
      <w:r w:rsidRPr="00F7600C">
        <w:rPr>
          <w:lang w:val="fr-FR"/>
        </w:rPr>
        <w:t xml:space="preserve">le </w:t>
      </w:r>
      <w:r w:rsidR="00640862" w:rsidRPr="00F7600C">
        <w:rPr>
          <w:lang w:val="fr-FR"/>
        </w:rPr>
        <w:t>14 avril</w:t>
      </w:r>
      <w:r w:rsidRPr="00F7600C">
        <w:rPr>
          <w:lang w:val="fr-FR"/>
        </w:rPr>
        <w:t xml:space="preserve"> 20</w:t>
      </w:r>
      <w:r w:rsidR="0026631A">
        <w:rPr>
          <w:lang w:val="fr-FR"/>
        </w:rPr>
        <w:t>20</w:t>
      </w:r>
      <w:r w:rsidRPr="002B5F76">
        <w:rPr>
          <w:lang w:val="fr-FR"/>
        </w:rPr>
        <w:t xml:space="preserve"> au Recueil Electronique des Sociétés et Associations. </w:t>
      </w:r>
    </w:p>
    <w:p w14:paraId="6813F6A9" w14:textId="7C867B57" w:rsidR="00477D71" w:rsidRDefault="00477D71" w:rsidP="002B5F76">
      <w:pPr>
        <w:jc w:val="both"/>
        <w:rPr>
          <w:lang w:val="fr-FR"/>
        </w:rPr>
      </w:pPr>
    </w:p>
    <w:p w14:paraId="4E36B73C" w14:textId="77777777" w:rsidR="0011259F" w:rsidRDefault="0011259F" w:rsidP="002B5F76">
      <w:pPr>
        <w:jc w:val="both"/>
        <w:rPr>
          <w:lang w:val="fr-FR"/>
        </w:rPr>
      </w:pPr>
    </w:p>
    <w:p w14:paraId="60EA90A0" w14:textId="77777777" w:rsidR="00A276E7" w:rsidRPr="00A276E7" w:rsidRDefault="00A276E7" w:rsidP="001A6D8E">
      <w:pPr>
        <w:pStyle w:val="Heading2"/>
        <w:rPr>
          <w:color w:val="365F91" w:themeColor="accent1" w:themeShade="BF"/>
          <w:lang w:val="fr-FR"/>
        </w:rPr>
      </w:pPr>
      <w:r w:rsidRPr="00A276E7">
        <w:rPr>
          <w:lang w:val="fr-FR"/>
        </w:rPr>
        <w:t>Dotation budgétaire</w:t>
      </w:r>
    </w:p>
    <w:p w14:paraId="21BB4529" w14:textId="77777777" w:rsidR="000A2087" w:rsidRDefault="000A2087" w:rsidP="000A2087">
      <w:pPr>
        <w:jc w:val="both"/>
        <w:rPr>
          <w:lang w:val="fr-FR"/>
        </w:rPr>
      </w:pPr>
      <w:r w:rsidRPr="000A2087">
        <w:rPr>
          <w:lang w:val="fr-FR"/>
        </w:rPr>
        <w:t xml:space="preserve">Le Fonds souverain a reçu </w:t>
      </w:r>
      <w:r w:rsidR="00FA233A">
        <w:rPr>
          <w:lang w:val="fr-FR"/>
        </w:rPr>
        <w:t xml:space="preserve">au cours du premier semestre </w:t>
      </w:r>
      <w:r w:rsidRPr="000A2087">
        <w:rPr>
          <w:lang w:val="fr-FR"/>
        </w:rPr>
        <w:t xml:space="preserve">la dotation budgétaire annuelle de l’Etat d’un montant de </w:t>
      </w:r>
      <w:r w:rsidR="00FA6285">
        <w:rPr>
          <w:lang w:val="fr-FR"/>
        </w:rPr>
        <w:t>53.030.606,12</w:t>
      </w:r>
      <w:r w:rsidR="00AF62A0" w:rsidRPr="00AF62A0">
        <w:rPr>
          <w:lang w:val="fr-FR"/>
        </w:rPr>
        <w:t xml:space="preserve"> </w:t>
      </w:r>
      <w:r w:rsidRPr="000A2087">
        <w:rPr>
          <w:lang w:val="fr-FR"/>
        </w:rPr>
        <w:t>euros. Conformément à l’article 1</w:t>
      </w:r>
      <w:r w:rsidRPr="000A2087">
        <w:rPr>
          <w:vertAlign w:val="superscript"/>
          <w:lang w:val="fr-FR"/>
        </w:rPr>
        <w:t>er</w:t>
      </w:r>
      <w:r w:rsidRPr="000A2087">
        <w:rPr>
          <w:lang w:val="fr-FR"/>
        </w:rPr>
        <w:t>, paragraphe 1</w:t>
      </w:r>
      <w:r w:rsidRPr="000A2087">
        <w:rPr>
          <w:vertAlign w:val="superscript"/>
          <w:lang w:val="fr-FR"/>
        </w:rPr>
        <w:t>er</w:t>
      </w:r>
      <w:r w:rsidRPr="000A2087">
        <w:rPr>
          <w:lang w:val="fr-FR"/>
        </w:rPr>
        <w:t xml:space="preserve">, alinéa 5, de la loi du 19 décembre 2014 relative à la mise en œuvre du paquet d’avenir - première partie (2015), le montant de 50 millions d’euros </w:t>
      </w:r>
      <w:r w:rsidR="00FA233A">
        <w:rPr>
          <w:lang w:val="fr-FR"/>
        </w:rPr>
        <w:t>a été</w:t>
      </w:r>
      <w:r w:rsidR="00477D71">
        <w:rPr>
          <w:lang w:val="fr-FR"/>
        </w:rPr>
        <w:t xml:space="preserve"> ajust</w:t>
      </w:r>
      <w:r w:rsidR="00FA233A">
        <w:rPr>
          <w:lang w:val="fr-FR"/>
        </w:rPr>
        <w:t>é</w:t>
      </w:r>
      <w:r w:rsidRPr="000A2087">
        <w:rPr>
          <w:lang w:val="fr-FR"/>
        </w:rPr>
        <w:t xml:space="preserve"> pour tenir compte des variations de l’indice des prix à la consommation national (IPCN). </w:t>
      </w:r>
    </w:p>
    <w:p w14:paraId="2858F31D" w14:textId="77777777" w:rsidR="00117FFD" w:rsidRPr="000A2087" w:rsidRDefault="00117FFD" w:rsidP="000A2087">
      <w:pPr>
        <w:jc w:val="both"/>
        <w:rPr>
          <w:lang w:val="fr-FR"/>
        </w:rPr>
      </w:pPr>
    </w:p>
    <w:p w14:paraId="1181F772" w14:textId="5C083425" w:rsidR="00D0564B" w:rsidRDefault="00117FFD" w:rsidP="00117FF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caps/>
          <w:spacing w:val="15"/>
          <w:sz w:val="22"/>
          <w:szCs w:val="22"/>
          <w:lang w:val="fr-FR"/>
        </w:rPr>
      </w:pPr>
      <w:r w:rsidRPr="00117FFD">
        <w:rPr>
          <w:caps/>
          <w:spacing w:val="15"/>
          <w:sz w:val="22"/>
          <w:szCs w:val="22"/>
          <w:lang w:val="fr-FR"/>
        </w:rPr>
        <w:t>Activité d’Investissement</w:t>
      </w:r>
    </w:p>
    <w:p w14:paraId="4B9E5E0A" w14:textId="77777777" w:rsidR="00D0564B" w:rsidRPr="00DE0211" w:rsidRDefault="00D0564B" w:rsidP="00D0564B">
      <w:pPr>
        <w:jc w:val="both"/>
        <w:rPr>
          <w:rFonts w:cstheme="minorHAnsi"/>
          <w:b/>
          <w:lang w:val="fr-FR"/>
        </w:rPr>
      </w:pPr>
      <w:r>
        <w:rPr>
          <w:rFonts w:cstheme="minorHAnsi"/>
          <w:b/>
          <w:lang w:val="fr-FR"/>
        </w:rPr>
        <w:t xml:space="preserve">Marchés financiers </w:t>
      </w:r>
    </w:p>
    <w:p w14:paraId="556611AD" w14:textId="1910BA4D" w:rsidR="00ED1225" w:rsidRDefault="003542C1" w:rsidP="00D0564B">
      <w:pPr>
        <w:jc w:val="both"/>
        <w:rPr>
          <w:lang w:val="fr-FR"/>
        </w:rPr>
      </w:pPr>
      <w:r>
        <w:rPr>
          <w:lang w:val="fr-FR"/>
        </w:rPr>
        <w:t xml:space="preserve">Depuis la mi-février, les marchés sont sous l’emprise du </w:t>
      </w:r>
      <w:r w:rsidR="00D0564B">
        <w:rPr>
          <w:lang w:val="fr-FR"/>
        </w:rPr>
        <w:t xml:space="preserve">virus SARS-CoV-2 </w:t>
      </w:r>
      <w:r>
        <w:rPr>
          <w:lang w:val="fr-FR"/>
        </w:rPr>
        <w:t xml:space="preserve">dont les </w:t>
      </w:r>
      <w:r w:rsidR="00BB1EFD">
        <w:rPr>
          <w:lang w:val="fr-FR"/>
        </w:rPr>
        <w:t xml:space="preserve">premières </w:t>
      </w:r>
      <w:r>
        <w:rPr>
          <w:lang w:val="fr-FR"/>
        </w:rPr>
        <w:t xml:space="preserve">contaminations humaines ont été détectées dans </w:t>
      </w:r>
      <w:r w:rsidR="00D0564B">
        <w:rPr>
          <w:lang w:val="fr-FR"/>
        </w:rPr>
        <w:t>la ville chinoise de Wuhan</w:t>
      </w:r>
      <w:r>
        <w:rPr>
          <w:lang w:val="fr-FR"/>
        </w:rPr>
        <w:t>,</w:t>
      </w:r>
      <w:r w:rsidR="00D0564B">
        <w:rPr>
          <w:lang w:val="fr-FR"/>
        </w:rPr>
        <w:t xml:space="preserve"> dès l</w:t>
      </w:r>
      <w:r>
        <w:rPr>
          <w:lang w:val="fr-FR"/>
        </w:rPr>
        <w:t>e 4</w:t>
      </w:r>
      <w:r w:rsidRPr="003542C1">
        <w:rPr>
          <w:vertAlign w:val="superscript"/>
          <w:lang w:val="fr-FR"/>
        </w:rPr>
        <w:t>e</w:t>
      </w:r>
      <w:r>
        <w:rPr>
          <w:lang w:val="fr-FR"/>
        </w:rPr>
        <w:t xml:space="preserve"> trimestre 2019. </w:t>
      </w:r>
      <w:r w:rsidR="00ED1225">
        <w:rPr>
          <w:lang w:val="fr-FR"/>
        </w:rPr>
        <w:t xml:space="preserve">Le 11 mars, </w:t>
      </w:r>
      <w:r w:rsidR="00906200">
        <w:rPr>
          <w:lang w:val="fr-FR"/>
        </w:rPr>
        <w:t>l’Organisation mondiale de la Santé</w:t>
      </w:r>
      <w:r w:rsidR="00D0564B">
        <w:rPr>
          <w:lang w:val="fr-FR"/>
        </w:rPr>
        <w:t xml:space="preserve"> a officiellement attribué à la maladie du Covid-19 le statut de pandémie mondiale, </w:t>
      </w:r>
      <w:r>
        <w:rPr>
          <w:lang w:val="fr-FR"/>
        </w:rPr>
        <w:t>sachant qu</w:t>
      </w:r>
      <w:r w:rsidR="00ED1225">
        <w:rPr>
          <w:lang w:val="fr-FR"/>
        </w:rPr>
        <w:t>’au préalable, bon nombre de pays asiatiques et européens avaient réagi à la crise sanitaire par un confinement plus ou moins strict</w:t>
      </w:r>
      <w:r w:rsidR="00D0564B">
        <w:rPr>
          <w:lang w:val="fr-FR"/>
        </w:rPr>
        <w:t>.</w:t>
      </w:r>
      <w:r w:rsidR="00ED1225">
        <w:rPr>
          <w:lang w:val="fr-FR"/>
        </w:rPr>
        <w:t xml:space="preserve"> Le virus et les mesures de « </w:t>
      </w:r>
      <w:proofErr w:type="spellStart"/>
      <w:r w:rsidR="00ED1225">
        <w:rPr>
          <w:lang w:val="fr-FR"/>
        </w:rPr>
        <w:t>lockdown</w:t>
      </w:r>
      <w:proofErr w:type="spellEnd"/>
      <w:r w:rsidR="00ED1225">
        <w:rPr>
          <w:lang w:val="fr-FR"/>
        </w:rPr>
        <w:t> » ont précipité la plus importante récession économique au niveau mondial, depuis la 2</w:t>
      </w:r>
      <w:r w:rsidR="00ED1225" w:rsidRPr="00ED1225">
        <w:rPr>
          <w:vertAlign w:val="superscript"/>
          <w:lang w:val="fr-FR"/>
        </w:rPr>
        <w:t>e</w:t>
      </w:r>
      <w:r w:rsidR="00ED1225">
        <w:rPr>
          <w:lang w:val="fr-FR"/>
        </w:rPr>
        <w:t xml:space="preserve"> Guerre Mondiale, le virus s’étant propagée par vagues de « diffusion » successives dans 99% des pays de la planète. </w:t>
      </w:r>
    </w:p>
    <w:p w14:paraId="7DD0308C" w14:textId="78B6023F" w:rsidR="00D0564B" w:rsidRDefault="00ED1225" w:rsidP="00D0564B">
      <w:pPr>
        <w:jc w:val="both"/>
        <w:rPr>
          <w:lang w:val="fr-CH"/>
        </w:rPr>
      </w:pPr>
      <w:r>
        <w:rPr>
          <w:lang w:val="fr-FR"/>
        </w:rPr>
        <w:t>Le rapport du 1</w:t>
      </w:r>
      <w:r w:rsidRPr="00ED1225">
        <w:rPr>
          <w:vertAlign w:val="superscript"/>
          <w:lang w:val="fr-FR"/>
        </w:rPr>
        <w:t>er</w:t>
      </w:r>
      <w:r>
        <w:rPr>
          <w:lang w:val="fr-FR"/>
        </w:rPr>
        <w:t xml:space="preserve"> trimestre était consacré au </w:t>
      </w:r>
      <w:r w:rsidR="00D0564B">
        <w:rPr>
          <w:lang w:val="fr-FR"/>
        </w:rPr>
        <w:t xml:space="preserve">crash boursier consécutif à </w:t>
      </w:r>
      <w:r>
        <w:rPr>
          <w:lang w:val="fr-FR"/>
        </w:rPr>
        <w:t>la panique face à la pandémie. Le 2</w:t>
      </w:r>
      <w:r w:rsidR="00B146D8" w:rsidRPr="00B146D8">
        <w:rPr>
          <w:vertAlign w:val="superscript"/>
          <w:lang w:val="fr-FR"/>
        </w:rPr>
        <w:t>e</w:t>
      </w:r>
      <w:r w:rsidR="00B146D8">
        <w:rPr>
          <w:lang w:val="fr-FR"/>
        </w:rPr>
        <w:t xml:space="preserve"> </w:t>
      </w:r>
      <w:r>
        <w:rPr>
          <w:lang w:val="fr-FR"/>
        </w:rPr>
        <w:t xml:space="preserve">trimestre 2020 entre dans l’histoire comme celui du rebond boursier le plus rapide et important de tous les temps. </w:t>
      </w:r>
      <w:r w:rsidR="00D0564B">
        <w:rPr>
          <w:lang w:val="fr-CH"/>
        </w:rPr>
        <w:t>Les courbes de taux d’intérêt en EUR</w:t>
      </w:r>
      <w:r>
        <w:rPr>
          <w:lang w:val="fr-CH"/>
        </w:rPr>
        <w:t xml:space="preserve"> et en </w:t>
      </w:r>
      <w:r w:rsidR="00D0564B">
        <w:rPr>
          <w:lang w:val="fr-CH"/>
        </w:rPr>
        <w:t xml:space="preserve">USD </w:t>
      </w:r>
      <w:r>
        <w:rPr>
          <w:lang w:val="fr-CH"/>
        </w:rPr>
        <w:t>restent ancrées à un n</w:t>
      </w:r>
      <w:r w:rsidR="000443D1">
        <w:rPr>
          <w:lang w:val="fr-CH"/>
        </w:rPr>
        <w:t xml:space="preserve">iveau historiquement faible. </w:t>
      </w:r>
    </w:p>
    <w:p w14:paraId="36E368BD" w14:textId="79CC800B" w:rsidR="00D0564B" w:rsidRPr="00066729" w:rsidRDefault="00D0564B" w:rsidP="00D0564B">
      <w:pPr>
        <w:jc w:val="both"/>
        <w:rPr>
          <w:rFonts w:cstheme="minorHAnsi"/>
          <w:b/>
          <w:lang w:val="fr-FR"/>
        </w:rPr>
      </w:pPr>
      <w:r w:rsidRPr="00066729">
        <w:rPr>
          <w:rFonts w:cstheme="minorHAnsi"/>
          <w:b/>
          <w:lang w:val="fr-FR"/>
        </w:rPr>
        <w:t>Marché</w:t>
      </w:r>
      <w:r>
        <w:rPr>
          <w:rFonts w:cstheme="minorHAnsi"/>
          <w:b/>
          <w:lang w:val="fr-FR"/>
        </w:rPr>
        <w:t>s</w:t>
      </w:r>
      <w:r w:rsidRPr="00066729">
        <w:rPr>
          <w:rFonts w:cstheme="minorHAnsi"/>
          <w:b/>
          <w:lang w:val="fr-FR"/>
        </w:rPr>
        <w:t xml:space="preserve"> de taux</w:t>
      </w:r>
      <w:r w:rsidR="00906200">
        <w:rPr>
          <w:rFonts w:cstheme="minorHAnsi"/>
          <w:b/>
          <w:lang w:val="fr-FR"/>
        </w:rPr>
        <w:t xml:space="preserve"> et des crédits</w:t>
      </w:r>
    </w:p>
    <w:p w14:paraId="4D35FA7E" w14:textId="4D71A7E1" w:rsidR="00D0564B" w:rsidRDefault="000443D1" w:rsidP="00D0564B">
      <w:pPr>
        <w:jc w:val="both"/>
        <w:rPr>
          <w:lang w:val="fr-CH"/>
        </w:rPr>
      </w:pPr>
      <w:r>
        <w:rPr>
          <w:lang w:val="fr-CH"/>
        </w:rPr>
        <w:t>Pour rappel, l</w:t>
      </w:r>
      <w:r w:rsidR="00D0564B">
        <w:rPr>
          <w:lang w:val="fr-CH"/>
        </w:rPr>
        <w:t>a Réserve Fédérale a</w:t>
      </w:r>
      <w:r>
        <w:rPr>
          <w:lang w:val="fr-CH"/>
        </w:rPr>
        <w:t>vait</w:t>
      </w:r>
      <w:r w:rsidR="00D0564B">
        <w:rPr>
          <w:lang w:val="fr-CH"/>
        </w:rPr>
        <w:t xml:space="preserve"> délivré une réponse ultra-rapide à la crise économique en opérant deux baisses de ses taux directeurs, le mardi 3 mars avec un assouplissement de 50 </w:t>
      </w:r>
      <w:proofErr w:type="spellStart"/>
      <w:r w:rsidR="00D0564B">
        <w:rPr>
          <w:lang w:val="fr-CH"/>
        </w:rPr>
        <w:t>bp</w:t>
      </w:r>
      <w:proofErr w:type="spellEnd"/>
      <w:r w:rsidR="00D0564B">
        <w:rPr>
          <w:lang w:val="fr-CH"/>
        </w:rPr>
        <w:t xml:space="preserve"> vers [1,5</w:t>
      </w:r>
      <w:r w:rsidR="00D0564B">
        <w:rPr>
          <w:sz w:val="18"/>
          <w:lang w:val="fr-CH"/>
        </w:rPr>
        <w:t>% - 1</w:t>
      </w:r>
      <w:r w:rsidR="00D0564B">
        <w:rPr>
          <w:lang w:val="fr-CH"/>
        </w:rPr>
        <w:t xml:space="preserve">,75%] et le dimanche 15 mars avec une baisse de 1,5% vers [0% - 0,25%]. La Banque Centrale Européenne, par contre, </w:t>
      </w:r>
      <w:r w:rsidR="00906200">
        <w:rPr>
          <w:lang w:val="fr-CH"/>
        </w:rPr>
        <w:t xml:space="preserve">n’a pas procédé à un abaissement supplémentaire </w:t>
      </w:r>
      <w:r w:rsidR="00D0564B">
        <w:rPr>
          <w:lang w:val="fr-CH"/>
        </w:rPr>
        <w:t xml:space="preserve">en territoire négatif </w:t>
      </w:r>
      <w:r w:rsidR="00906200">
        <w:rPr>
          <w:lang w:val="fr-CH"/>
        </w:rPr>
        <w:t xml:space="preserve">de </w:t>
      </w:r>
      <w:r w:rsidR="00D0564B">
        <w:rPr>
          <w:lang w:val="fr-CH"/>
        </w:rPr>
        <w:t>son taux de la facilité de dépôt, qui est donc resté inchangé à -0,5%. La BCE a</w:t>
      </w:r>
      <w:r w:rsidR="00906200">
        <w:rPr>
          <w:lang w:val="fr-CH"/>
        </w:rPr>
        <w:t xml:space="preserve"> pourtant </w:t>
      </w:r>
      <w:r w:rsidR="00D0564B">
        <w:rPr>
          <w:lang w:val="fr-CH"/>
        </w:rPr>
        <w:t xml:space="preserve">mis en place de nouvelles mesures </w:t>
      </w:r>
      <w:r w:rsidR="00906200">
        <w:rPr>
          <w:lang w:val="fr-CH"/>
        </w:rPr>
        <w:t>d’assouplissement quantitatif</w:t>
      </w:r>
      <w:r w:rsidR="00D0564B">
        <w:rPr>
          <w:lang w:val="fr-CH"/>
        </w:rPr>
        <w:t xml:space="preserve"> en annonçant un nouveau programme de rachats d’actifs, sous le nom générique de PEPP, et </w:t>
      </w:r>
      <w:r>
        <w:rPr>
          <w:lang w:val="fr-CH"/>
        </w:rPr>
        <w:t>le</w:t>
      </w:r>
      <w:r w:rsidR="00906200">
        <w:rPr>
          <w:lang w:val="fr-CH"/>
        </w:rPr>
        <w:t xml:space="preserve"> lancement d’opérations d’injection de liquidités à des conditions avantageuses (</w:t>
      </w:r>
      <w:r w:rsidR="00D0564B">
        <w:rPr>
          <w:lang w:val="fr-CH"/>
        </w:rPr>
        <w:t xml:space="preserve">TLTRO </w:t>
      </w:r>
      <w:r>
        <w:rPr>
          <w:lang w:val="fr-CH"/>
        </w:rPr>
        <w:t>III</w:t>
      </w:r>
      <w:r w:rsidR="00906200">
        <w:rPr>
          <w:lang w:val="fr-CH"/>
        </w:rPr>
        <w:t>)</w:t>
      </w:r>
      <w:r>
        <w:rPr>
          <w:lang w:val="fr-CH"/>
        </w:rPr>
        <w:t xml:space="preserve"> </w:t>
      </w:r>
      <w:r w:rsidR="00D0564B">
        <w:rPr>
          <w:lang w:val="fr-CH"/>
        </w:rPr>
        <w:t xml:space="preserve">pour les banques de la zone euro. </w:t>
      </w:r>
      <w:r>
        <w:rPr>
          <w:lang w:val="fr-CH"/>
        </w:rPr>
        <w:t>Aucune mesure supplémentaire n’a été annoncée au 2</w:t>
      </w:r>
      <w:r w:rsidRPr="000443D1">
        <w:rPr>
          <w:vertAlign w:val="superscript"/>
          <w:lang w:val="fr-CH"/>
        </w:rPr>
        <w:t>e</w:t>
      </w:r>
      <w:r>
        <w:rPr>
          <w:lang w:val="fr-CH"/>
        </w:rPr>
        <w:t xml:space="preserve"> trimestre 2020</w:t>
      </w:r>
      <w:r w:rsidR="00BA3882">
        <w:rPr>
          <w:lang w:val="fr-CH"/>
        </w:rPr>
        <w:t xml:space="preserve"> par les banques centrales</w:t>
      </w:r>
      <w:r>
        <w:rPr>
          <w:lang w:val="fr-CH"/>
        </w:rPr>
        <w:t xml:space="preserve">, </w:t>
      </w:r>
      <w:r w:rsidR="00BA3882">
        <w:rPr>
          <w:lang w:val="fr-CH"/>
        </w:rPr>
        <w:t>alors que les autorités publiques ont décidé de mettre en place des paquets de relance économique d’une envergure inédite, y compris au niveau de l’</w:t>
      </w:r>
      <w:r w:rsidR="00BB1EFD">
        <w:rPr>
          <w:lang w:val="fr-CH"/>
        </w:rPr>
        <w:t>Union européenne</w:t>
      </w:r>
      <w:r w:rsidR="00BA3882">
        <w:rPr>
          <w:lang w:val="fr-CH"/>
        </w:rPr>
        <w:t>. Ces mesures ont également contribué à rassurer les acteurs des marchés.</w:t>
      </w:r>
      <w:r>
        <w:rPr>
          <w:lang w:val="fr-CH"/>
        </w:rPr>
        <w:t xml:space="preserve"> </w:t>
      </w:r>
    </w:p>
    <w:p w14:paraId="2AD799D4" w14:textId="5B206407" w:rsidR="00D0564B" w:rsidRDefault="00D0564B" w:rsidP="00D0564B">
      <w:pPr>
        <w:jc w:val="both"/>
        <w:rPr>
          <w:rFonts w:cstheme="minorHAnsi"/>
          <w:color w:val="000000"/>
          <w:lang w:val="fr-CH"/>
        </w:rPr>
      </w:pPr>
      <w:r>
        <w:rPr>
          <w:rFonts w:cstheme="minorHAnsi"/>
          <w:color w:val="000000"/>
          <w:lang w:val="fr-CH"/>
        </w:rPr>
        <w:lastRenderedPageBreak/>
        <w:t>Au 3</w:t>
      </w:r>
      <w:r w:rsidR="000443D1">
        <w:rPr>
          <w:rFonts w:cstheme="minorHAnsi"/>
          <w:color w:val="000000"/>
          <w:lang w:val="fr-CH"/>
        </w:rPr>
        <w:t>0</w:t>
      </w:r>
      <w:r>
        <w:rPr>
          <w:rFonts w:cstheme="minorHAnsi"/>
          <w:color w:val="000000"/>
          <w:lang w:val="fr-CH"/>
        </w:rPr>
        <w:t xml:space="preserve"> </w:t>
      </w:r>
      <w:r w:rsidR="000443D1">
        <w:rPr>
          <w:rFonts w:cstheme="minorHAnsi"/>
          <w:color w:val="000000"/>
          <w:lang w:val="fr-CH"/>
        </w:rPr>
        <w:t>juin</w:t>
      </w:r>
      <w:r>
        <w:rPr>
          <w:rFonts w:cstheme="minorHAnsi"/>
          <w:color w:val="000000"/>
          <w:lang w:val="fr-CH"/>
        </w:rPr>
        <w:t xml:space="preserve"> 2020,</w:t>
      </w:r>
      <w:r w:rsidRPr="00C845A6">
        <w:rPr>
          <w:rFonts w:cstheme="minorHAnsi"/>
          <w:color w:val="000000"/>
          <w:lang w:val="fr-CH"/>
        </w:rPr>
        <w:t xml:space="preserve"> les taux</w:t>
      </w:r>
      <w:r>
        <w:rPr>
          <w:rFonts w:cstheme="minorHAnsi"/>
          <w:color w:val="000000"/>
          <w:lang w:val="fr-CH"/>
        </w:rPr>
        <w:t xml:space="preserve"> d’intérêt</w:t>
      </w:r>
      <w:r w:rsidRPr="00C845A6">
        <w:rPr>
          <w:rFonts w:cstheme="minorHAnsi"/>
          <w:color w:val="000000"/>
          <w:lang w:val="fr-CH"/>
        </w:rPr>
        <w:t xml:space="preserve"> en EUR </w:t>
      </w:r>
      <w:r>
        <w:rPr>
          <w:rFonts w:cstheme="minorHAnsi"/>
          <w:color w:val="000000"/>
          <w:lang w:val="fr-CH"/>
        </w:rPr>
        <w:t xml:space="preserve">sont </w:t>
      </w:r>
      <w:r w:rsidRPr="00C845A6">
        <w:rPr>
          <w:rFonts w:cstheme="minorHAnsi"/>
          <w:color w:val="000000"/>
          <w:lang w:val="fr-CH"/>
        </w:rPr>
        <w:t xml:space="preserve">négatifs pour les échéances jusqu'à </w:t>
      </w:r>
      <w:r>
        <w:rPr>
          <w:rFonts w:cstheme="minorHAnsi"/>
          <w:color w:val="000000"/>
          <w:lang w:val="fr-CH"/>
        </w:rPr>
        <w:t>12</w:t>
      </w:r>
      <w:r w:rsidRPr="00C845A6">
        <w:rPr>
          <w:rFonts w:cstheme="minorHAnsi"/>
          <w:color w:val="000000"/>
          <w:lang w:val="fr-CH"/>
        </w:rPr>
        <w:t xml:space="preserve"> ans</w:t>
      </w:r>
      <w:r>
        <w:rPr>
          <w:rFonts w:cstheme="minorHAnsi"/>
          <w:color w:val="000000"/>
          <w:lang w:val="fr-CH"/>
        </w:rPr>
        <w:t xml:space="preserve"> et au-delà de </w:t>
      </w:r>
      <w:r w:rsidR="000443D1">
        <w:rPr>
          <w:rFonts w:cstheme="minorHAnsi"/>
          <w:color w:val="000000"/>
          <w:lang w:val="fr-CH"/>
        </w:rPr>
        <w:t>45</w:t>
      </w:r>
      <w:r>
        <w:rPr>
          <w:rFonts w:cstheme="minorHAnsi"/>
          <w:color w:val="000000"/>
          <w:lang w:val="fr-CH"/>
        </w:rPr>
        <w:t xml:space="preserve"> ans jusqu’à 50 ans, alors qu’ils l’étaient jusqu’à 6 ans à la fin de l’année 2019. L’allure de </w:t>
      </w:r>
      <w:r w:rsidR="000443D1">
        <w:rPr>
          <w:rFonts w:cstheme="minorHAnsi"/>
          <w:color w:val="000000"/>
          <w:lang w:val="fr-CH"/>
        </w:rPr>
        <w:t xml:space="preserve">la </w:t>
      </w:r>
      <w:r>
        <w:rPr>
          <w:rFonts w:cstheme="minorHAnsi"/>
          <w:color w:val="000000"/>
          <w:lang w:val="fr-CH"/>
        </w:rPr>
        <w:t>courbe des taux d’intérêt en EUR est historiquement plate. Le taux en EUR à 10 ans est de -0,</w:t>
      </w:r>
      <w:r w:rsidR="000443D1">
        <w:rPr>
          <w:rFonts w:cstheme="minorHAnsi"/>
          <w:color w:val="000000"/>
          <w:lang w:val="fr-CH"/>
        </w:rPr>
        <w:t>175</w:t>
      </w:r>
      <w:r>
        <w:rPr>
          <w:rFonts w:cstheme="minorHAnsi"/>
          <w:color w:val="000000"/>
          <w:lang w:val="fr-CH"/>
        </w:rPr>
        <w:t>%</w:t>
      </w:r>
      <w:r w:rsidR="000443D1">
        <w:rPr>
          <w:rFonts w:cstheme="minorHAnsi"/>
          <w:color w:val="000000"/>
          <w:lang w:val="fr-CH"/>
        </w:rPr>
        <w:t xml:space="preserve"> </w:t>
      </w:r>
      <w:r>
        <w:rPr>
          <w:rFonts w:cstheme="minorHAnsi"/>
          <w:color w:val="000000"/>
          <w:lang w:val="fr-CH"/>
        </w:rPr>
        <w:t>et le taux en EUR à 2 ans est de -0,3</w:t>
      </w:r>
      <w:r w:rsidR="000443D1">
        <w:rPr>
          <w:rFonts w:cstheme="minorHAnsi"/>
          <w:color w:val="000000"/>
          <w:lang w:val="fr-CH"/>
        </w:rPr>
        <w:t>88</w:t>
      </w:r>
      <w:r>
        <w:rPr>
          <w:rFonts w:cstheme="minorHAnsi"/>
          <w:color w:val="000000"/>
          <w:lang w:val="fr-CH"/>
        </w:rPr>
        <w:t xml:space="preserve">%.  </w:t>
      </w:r>
    </w:p>
    <w:p w14:paraId="2C351CA1" w14:textId="0D676BC1" w:rsidR="00D0564B" w:rsidRDefault="000443D1" w:rsidP="00D0564B">
      <w:pPr>
        <w:jc w:val="both"/>
        <w:rPr>
          <w:rFonts w:cstheme="minorHAnsi"/>
          <w:color w:val="000000"/>
          <w:lang w:val="fr-CH"/>
        </w:rPr>
      </w:pPr>
      <w:r>
        <w:rPr>
          <w:rFonts w:cstheme="minorHAnsi"/>
          <w:color w:val="000000"/>
          <w:lang w:val="fr-CH"/>
        </w:rPr>
        <w:t>Au 30 juin 2020, l</w:t>
      </w:r>
      <w:r w:rsidR="00D0564B">
        <w:rPr>
          <w:rFonts w:cstheme="minorHAnsi"/>
          <w:color w:val="000000"/>
          <w:lang w:val="fr-CH"/>
        </w:rPr>
        <w:t>e taux en USD à 10 ans est de 0,</w:t>
      </w:r>
      <w:r>
        <w:rPr>
          <w:rFonts w:cstheme="minorHAnsi"/>
          <w:color w:val="000000"/>
          <w:lang w:val="fr-CH"/>
        </w:rPr>
        <w:t>64</w:t>
      </w:r>
      <w:r w:rsidR="00D0564B">
        <w:rPr>
          <w:rFonts w:cstheme="minorHAnsi"/>
          <w:color w:val="000000"/>
          <w:lang w:val="fr-CH"/>
        </w:rPr>
        <w:t>%, soit en baisse de plus de 1</w:t>
      </w:r>
      <w:r>
        <w:rPr>
          <w:rFonts w:cstheme="minorHAnsi"/>
          <w:color w:val="000000"/>
          <w:lang w:val="fr-CH"/>
        </w:rPr>
        <w:t>2</w:t>
      </w:r>
      <w:r w:rsidR="00D0564B">
        <w:rPr>
          <w:rFonts w:cstheme="minorHAnsi"/>
          <w:color w:val="000000"/>
          <w:lang w:val="fr-CH"/>
        </w:rPr>
        <w:t>0 points de base par rapport au niveau du 31 décembre 2019</w:t>
      </w:r>
      <w:r>
        <w:rPr>
          <w:rFonts w:cstheme="minorHAnsi"/>
          <w:color w:val="000000"/>
          <w:lang w:val="fr-CH"/>
        </w:rPr>
        <w:t xml:space="preserve"> et d’une dizaine de points de base au 2</w:t>
      </w:r>
      <w:r w:rsidRPr="000443D1">
        <w:rPr>
          <w:rFonts w:cstheme="minorHAnsi"/>
          <w:color w:val="000000"/>
          <w:vertAlign w:val="superscript"/>
          <w:lang w:val="fr-CH"/>
        </w:rPr>
        <w:t>e</w:t>
      </w:r>
      <w:r>
        <w:rPr>
          <w:rFonts w:cstheme="minorHAnsi"/>
          <w:color w:val="000000"/>
          <w:lang w:val="fr-CH"/>
        </w:rPr>
        <w:t xml:space="preserve"> trimestre</w:t>
      </w:r>
      <w:r w:rsidR="00D0564B">
        <w:rPr>
          <w:rFonts w:cstheme="minorHAnsi"/>
          <w:color w:val="000000"/>
          <w:lang w:val="fr-CH"/>
        </w:rPr>
        <w:t>. Le taux en USD à 2 ans est de 0,</w:t>
      </w:r>
      <w:r>
        <w:rPr>
          <w:rFonts w:cstheme="minorHAnsi"/>
          <w:color w:val="000000"/>
          <w:lang w:val="fr-CH"/>
        </w:rPr>
        <w:t>18</w:t>
      </w:r>
      <w:r w:rsidR="00D0564B">
        <w:rPr>
          <w:rFonts w:cstheme="minorHAnsi"/>
          <w:color w:val="000000"/>
          <w:lang w:val="fr-CH"/>
        </w:rPr>
        <w:t>%, soit en recul de plus de 15</w:t>
      </w:r>
      <w:r>
        <w:rPr>
          <w:rFonts w:cstheme="minorHAnsi"/>
          <w:color w:val="000000"/>
          <w:lang w:val="fr-CH"/>
        </w:rPr>
        <w:t>0</w:t>
      </w:r>
      <w:r w:rsidR="00D0564B">
        <w:rPr>
          <w:rFonts w:cstheme="minorHAnsi"/>
          <w:color w:val="000000"/>
          <w:lang w:val="fr-CH"/>
        </w:rPr>
        <w:t xml:space="preserve"> points de base par rapport au niveau de la fin d’année 2019</w:t>
      </w:r>
      <w:r>
        <w:rPr>
          <w:rFonts w:cstheme="minorHAnsi"/>
          <w:color w:val="000000"/>
          <w:lang w:val="fr-CH"/>
        </w:rPr>
        <w:t xml:space="preserve"> et d’une quinzaine de points de base au 2</w:t>
      </w:r>
      <w:r w:rsidRPr="000443D1">
        <w:rPr>
          <w:rFonts w:cstheme="minorHAnsi"/>
          <w:color w:val="000000"/>
          <w:vertAlign w:val="superscript"/>
          <w:lang w:val="fr-CH"/>
        </w:rPr>
        <w:t>e</w:t>
      </w:r>
      <w:r>
        <w:rPr>
          <w:rFonts w:cstheme="minorHAnsi"/>
          <w:color w:val="000000"/>
          <w:lang w:val="fr-CH"/>
        </w:rPr>
        <w:t xml:space="preserve"> trimestre</w:t>
      </w:r>
      <w:r w:rsidR="00D0564B">
        <w:rPr>
          <w:rFonts w:cstheme="minorHAnsi"/>
          <w:color w:val="000000"/>
          <w:lang w:val="fr-CH"/>
        </w:rPr>
        <w:t>.</w:t>
      </w:r>
    </w:p>
    <w:p w14:paraId="434244B1" w14:textId="1C423F6D" w:rsidR="00625F9E" w:rsidRDefault="00E41208" w:rsidP="00D0564B">
      <w:pPr>
        <w:jc w:val="both"/>
        <w:rPr>
          <w:rFonts w:cstheme="minorHAnsi"/>
          <w:color w:val="000000"/>
          <w:lang w:val="fr-CH"/>
        </w:rPr>
      </w:pPr>
      <w:r>
        <w:rPr>
          <w:rFonts w:cstheme="minorHAnsi"/>
          <w:color w:val="000000"/>
          <w:lang w:val="fr-CH"/>
        </w:rPr>
        <w:t xml:space="preserve">Les actions des banques centrales et des gouvernements </w:t>
      </w:r>
      <w:r w:rsidRPr="00E41208">
        <w:rPr>
          <w:rFonts w:cstheme="minorHAnsi"/>
          <w:color w:val="000000"/>
          <w:lang w:val="fr-CH"/>
        </w:rPr>
        <w:t xml:space="preserve">ont </w:t>
      </w:r>
      <w:r w:rsidR="00906200">
        <w:rPr>
          <w:rFonts w:cstheme="minorHAnsi"/>
          <w:color w:val="000000"/>
          <w:lang w:val="fr-CH"/>
        </w:rPr>
        <w:t xml:space="preserve">également </w:t>
      </w:r>
      <w:r w:rsidRPr="00E41208">
        <w:rPr>
          <w:rFonts w:cstheme="minorHAnsi"/>
          <w:color w:val="000000"/>
          <w:lang w:val="fr-CH"/>
        </w:rPr>
        <w:t xml:space="preserve">permis de rassurer les marchés </w:t>
      </w:r>
      <w:r w:rsidR="00906200">
        <w:rPr>
          <w:rFonts w:cstheme="minorHAnsi"/>
          <w:color w:val="000000"/>
          <w:lang w:val="fr-CH"/>
        </w:rPr>
        <w:t xml:space="preserve">de crédit, de sorte que </w:t>
      </w:r>
      <w:r w:rsidR="00BA3882">
        <w:rPr>
          <w:rFonts w:cstheme="minorHAnsi"/>
          <w:color w:val="000000"/>
          <w:lang w:val="fr-CH"/>
        </w:rPr>
        <w:t>par rapport au 1</w:t>
      </w:r>
      <w:r w:rsidR="00BA3882" w:rsidRPr="008374CF">
        <w:rPr>
          <w:rFonts w:cstheme="minorHAnsi"/>
          <w:color w:val="000000"/>
          <w:vertAlign w:val="superscript"/>
          <w:lang w:val="fr-CH"/>
        </w:rPr>
        <w:t>er</w:t>
      </w:r>
      <w:r w:rsidR="00BA3882">
        <w:rPr>
          <w:rFonts w:cstheme="minorHAnsi"/>
          <w:color w:val="000000"/>
          <w:lang w:val="fr-CH"/>
        </w:rPr>
        <w:t xml:space="preserve"> trimestre 2020</w:t>
      </w:r>
      <w:r w:rsidR="00BA3882" w:rsidRPr="00E41208">
        <w:rPr>
          <w:rFonts w:cstheme="minorHAnsi"/>
          <w:color w:val="000000"/>
          <w:lang w:val="fr-CH"/>
        </w:rPr>
        <w:t xml:space="preserve"> </w:t>
      </w:r>
      <w:r w:rsidRPr="00E41208">
        <w:rPr>
          <w:rFonts w:cstheme="minorHAnsi"/>
          <w:color w:val="000000"/>
          <w:lang w:val="fr-CH"/>
        </w:rPr>
        <w:t xml:space="preserve">les spreads se sont </w:t>
      </w:r>
      <w:r w:rsidR="00906200">
        <w:rPr>
          <w:rFonts w:cstheme="minorHAnsi"/>
          <w:color w:val="000000"/>
          <w:lang w:val="fr-CH"/>
        </w:rPr>
        <w:t xml:space="preserve">également </w:t>
      </w:r>
      <w:r w:rsidRPr="00E41208">
        <w:rPr>
          <w:rFonts w:cstheme="minorHAnsi"/>
          <w:color w:val="000000"/>
          <w:lang w:val="fr-CH"/>
        </w:rPr>
        <w:t>rétrécis</w:t>
      </w:r>
      <w:r w:rsidR="00BA3882">
        <w:rPr>
          <w:rFonts w:cstheme="minorHAnsi"/>
          <w:color w:val="000000"/>
          <w:lang w:val="fr-CH"/>
        </w:rPr>
        <w:t xml:space="preserve"> selon</w:t>
      </w:r>
      <w:r w:rsidR="00906200">
        <w:rPr>
          <w:rFonts w:cstheme="minorHAnsi"/>
          <w:color w:val="000000"/>
          <w:lang w:val="fr-CH"/>
        </w:rPr>
        <w:t xml:space="preserve"> la qualité sous-jacente du</w:t>
      </w:r>
      <w:r w:rsidRPr="00E41208">
        <w:rPr>
          <w:rFonts w:cstheme="minorHAnsi"/>
          <w:color w:val="000000"/>
          <w:lang w:val="fr-CH"/>
        </w:rPr>
        <w:t xml:space="preserve"> crédit.</w:t>
      </w:r>
    </w:p>
    <w:p w14:paraId="11181592" w14:textId="41E4B9D6" w:rsidR="00776614" w:rsidRPr="007872A5" w:rsidRDefault="00776614" w:rsidP="00D0564B">
      <w:pPr>
        <w:jc w:val="both"/>
        <w:rPr>
          <w:color w:val="000000"/>
          <w:lang w:val="fr-FR"/>
        </w:rPr>
      </w:pPr>
    </w:p>
    <w:p w14:paraId="7046A0FF" w14:textId="2781DC61" w:rsidR="00797882" w:rsidRPr="007872A5" w:rsidRDefault="0040613E" w:rsidP="00D0564B">
      <w:pPr>
        <w:jc w:val="both"/>
        <w:rPr>
          <w:i/>
          <w:color w:val="000000"/>
          <w:lang w:val="fr-LU"/>
        </w:rPr>
      </w:pPr>
      <w:r w:rsidRPr="0040613E">
        <w:rPr>
          <w:rFonts w:cstheme="minorHAnsi"/>
          <w:i/>
          <w:noProof/>
          <w:color w:val="000000"/>
          <w:lang w:val="en-US" w:eastAsia="en-US"/>
        </w:rPr>
        <w:drawing>
          <wp:anchor distT="0" distB="0" distL="114300" distR="114300" simplePos="0" relativeHeight="251664384" behindDoc="0" locked="0" layoutInCell="1" allowOverlap="1" wp14:anchorId="75D78268" wp14:editId="6747CA5E">
            <wp:simplePos x="0" y="0"/>
            <wp:positionH relativeFrom="column">
              <wp:posOffset>-27940</wp:posOffset>
            </wp:positionH>
            <wp:positionV relativeFrom="paragraph">
              <wp:posOffset>219710</wp:posOffset>
            </wp:positionV>
            <wp:extent cx="5554980" cy="2561590"/>
            <wp:effectExtent l="0" t="0" r="7620" b="0"/>
            <wp:wrapSquare wrapText="bothSides"/>
            <wp:docPr id="2"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RAXX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54980" cy="2561590"/>
                    </a:xfrm>
                    <a:prstGeom prst="rect">
                      <a:avLst/>
                    </a:prstGeom>
                  </pic:spPr>
                </pic:pic>
              </a:graphicData>
            </a:graphic>
            <wp14:sizeRelH relativeFrom="margin">
              <wp14:pctWidth>0</wp14:pctWidth>
            </wp14:sizeRelH>
            <wp14:sizeRelV relativeFrom="margin">
              <wp14:pctHeight>0</wp14:pctHeight>
            </wp14:sizeRelV>
          </wp:anchor>
        </w:drawing>
      </w:r>
      <w:r w:rsidR="00625F9E" w:rsidRPr="007872A5">
        <w:rPr>
          <w:i/>
          <w:color w:val="000000"/>
          <w:lang w:val="fr-LU"/>
        </w:rPr>
        <w:t>Evolution d</w:t>
      </w:r>
      <w:r w:rsidR="00776614" w:rsidRPr="007872A5">
        <w:rPr>
          <w:i/>
          <w:color w:val="000000"/>
          <w:lang w:val="fr-LU"/>
        </w:rPr>
        <w:t xml:space="preserve">u </w:t>
      </w:r>
      <w:proofErr w:type="spellStart"/>
      <w:r w:rsidR="00776614" w:rsidRPr="007872A5">
        <w:rPr>
          <w:i/>
          <w:color w:val="000000"/>
          <w:lang w:val="fr-LU"/>
        </w:rPr>
        <w:t>Markit</w:t>
      </w:r>
      <w:proofErr w:type="spellEnd"/>
      <w:r w:rsidR="00776614" w:rsidRPr="007872A5">
        <w:rPr>
          <w:i/>
          <w:color w:val="000000"/>
          <w:lang w:val="fr-LU"/>
        </w:rPr>
        <w:t xml:space="preserve"> </w:t>
      </w:r>
      <w:proofErr w:type="spellStart"/>
      <w:r w:rsidR="00625F9E" w:rsidRPr="007872A5">
        <w:rPr>
          <w:i/>
          <w:color w:val="000000"/>
          <w:lang w:val="fr-LU"/>
        </w:rPr>
        <w:t>iTRAXX</w:t>
      </w:r>
      <w:proofErr w:type="spellEnd"/>
      <w:r w:rsidR="00625F9E" w:rsidRPr="007872A5">
        <w:rPr>
          <w:i/>
          <w:color w:val="000000"/>
          <w:lang w:val="fr-LU"/>
        </w:rPr>
        <w:t xml:space="preserve"> </w:t>
      </w:r>
      <w:r w:rsidR="00776614" w:rsidRPr="007872A5">
        <w:rPr>
          <w:i/>
          <w:color w:val="000000"/>
          <w:lang w:val="fr-LU"/>
        </w:rPr>
        <w:t>Europe Index</w:t>
      </w:r>
      <w:r w:rsidR="00797882" w:rsidRPr="007872A5">
        <w:rPr>
          <w:i/>
          <w:color w:val="000000"/>
          <w:lang w:val="fr-LU"/>
        </w:rPr>
        <w:t xml:space="preserve"> depuis le début de l’année</w:t>
      </w:r>
    </w:p>
    <w:p w14:paraId="5374EFAC" w14:textId="2D97F949" w:rsidR="00E41208" w:rsidRPr="0040613E" w:rsidRDefault="00797882" w:rsidP="00D0564B">
      <w:pPr>
        <w:jc w:val="both"/>
        <w:rPr>
          <w:rFonts w:cstheme="minorHAnsi"/>
          <w:color w:val="000000"/>
        </w:rPr>
      </w:pPr>
      <w:r w:rsidRPr="0040613E">
        <w:rPr>
          <w:rFonts w:ascii="Calibri" w:hAnsi="Calibri" w:cs="Calibri"/>
          <w:sz w:val="11"/>
          <w:szCs w:val="11"/>
        </w:rPr>
        <w:t>Data source: Bloomberg Finance L.P. Used with the permission of Bloomberg.</w:t>
      </w:r>
      <w:r w:rsidR="00625F9E" w:rsidRPr="0040613E" w:rsidDel="00625F9E">
        <w:rPr>
          <w:rFonts w:cstheme="minorHAnsi"/>
          <w:color w:val="000000"/>
          <w:highlight w:val="yellow"/>
        </w:rPr>
        <w:t xml:space="preserve"> </w:t>
      </w:r>
    </w:p>
    <w:p w14:paraId="7A9C078A" w14:textId="77777777" w:rsidR="0040613E" w:rsidRPr="00EC1B75" w:rsidRDefault="0040613E" w:rsidP="00D0564B">
      <w:pPr>
        <w:jc w:val="both"/>
        <w:rPr>
          <w:rFonts w:cstheme="minorHAnsi"/>
          <w:b/>
          <w:lang w:val="en-US"/>
        </w:rPr>
      </w:pPr>
    </w:p>
    <w:p w14:paraId="0C981253" w14:textId="19A8C50B" w:rsidR="00D0564B" w:rsidRPr="00066729" w:rsidRDefault="00D0564B" w:rsidP="00D0564B">
      <w:pPr>
        <w:jc w:val="both"/>
        <w:rPr>
          <w:rFonts w:cstheme="minorHAnsi"/>
          <w:b/>
          <w:lang w:val="fr-FR"/>
        </w:rPr>
      </w:pPr>
      <w:r w:rsidRPr="00066729">
        <w:rPr>
          <w:rFonts w:cstheme="minorHAnsi"/>
          <w:b/>
          <w:lang w:val="fr-FR"/>
        </w:rPr>
        <w:t>Marchés actions</w:t>
      </w:r>
    </w:p>
    <w:p w14:paraId="4103B8B8" w14:textId="5255F47E" w:rsidR="00D0564B" w:rsidRDefault="00756556" w:rsidP="00D0564B">
      <w:pPr>
        <w:jc w:val="both"/>
        <w:rPr>
          <w:rFonts w:cstheme="minorHAnsi"/>
          <w:color w:val="000000"/>
          <w:lang w:val="fr-CH"/>
        </w:rPr>
      </w:pPr>
      <w:r>
        <w:rPr>
          <w:rFonts w:cstheme="minorHAnsi"/>
          <w:color w:val="000000"/>
          <w:lang w:val="fr-CH"/>
        </w:rPr>
        <w:t>L</w:t>
      </w:r>
      <w:r w:rsidR="00D0564B">
        <w:rPr>
          <w:rFonts w:cstheme="minorHAnsi"/>
          <w:color w:val="000000"/>
          <w:lang w:val="fr-CH"/>
        </w:rPr>
        <w:t>es indices boursiers MSCI World et MSCI Europe se sont inscrits en forte baisse au 1</w:t>
      </w:r>
      <w:r w:rsidR="00D0564B" w:rsidRPr="00F8208E">
        <w:rPr>
          <w:rFonts w:cstheme="minorHAnsi"/>
          <w:color w:val="000000"/>
          <w:vertAlign w:val="superscript"/>
          <w:lang w:val="fr-CH"/>
        </w:rPr>
        <w:t>er</w:t>
      </w:r>
      <w:r w:rsidR="00D0564B">
        <w:rPr>
          <w:rFonts w:cstheme="minorHAnsi"/>
          <w:color w:val="000000"/>
          <w:lang w:val="fr-CH"/>
        </w:rPr>
        <w:t xml:space="preserve"> trimestre 2020. </w:t>
      </w:r>
      <w:r>
        <w:rPr>
          <w:rFonts w:cstheme="minorHAnsi"/>
          <w:color w:val="000000"/>
          <w:lang w:val="fr-CH"/>
        </w:rPr>
        <w:t>Mais le rebond fulgurant du 2</w:t>
      </w:r>
      <w:r w:rsidRPr="00756556">
        <w:rPr>
          <w:rFonts w:cstheme="minorHAnsi"/>
          <w:color w:val="000000"/>
          <w:vertAlign w:val="superscript"/>
          <w:lang w:val="fr-CH"/>
        </w:rPr>
        <w:t>e</w:t>
      </w:r>
      <w:r>
        <w:rPr>
          <w:rFonts w:cstheme="minorHAnsi"/>
          <w:color w:val="000000"/>
          <w:lang w:val="fr-CH"/>
        </w:rPr>
        <w:t xml:space="preserve"> trimestre a été impressionnant. </w:t>
      </w:r>
    </w:p>
    <w:p w14:paraId="2F0C3202" w14:textId="3A432249" w:rsidR="00BA3882" w:rsidRDefault="00D0564B" w:rsidP="00D0564B">
      <w:pPr>
        <w:jc w:val="both"/>
        <w:rPr>
          <w:rFonts w:cstheme="minorHAnsi"/>
          <w:color w:val="000000"/>
          <w:lang w:val="fr-CH"/>
        </w:rPr>
      </w:pPr>
      <w:r>
        <w:rPr>
          <w:rFonts w:cstheme="minorHAnsi"/>
          <w:color w:val="000000"/>
          <w:lang w:val="fr-CH"/>
        </w:rPr>
        <w:t xml:space="preserve">L’indice MSCI World, libellé en EUR, a baissé en « total-return », c’est-à-dire après réinvestissement des dividendes, de </w:t>
      </w:r>
      <w:r w:rsidR="00756556">
        <w:rPr>
          <w:rFonts w:cstheme="minorHAnsi"/>
          <w:color w:val="000000"/>
          <w:lang w:val="fr-CH"/>
        </w:rPr>
        <w:t>5</w:t>
      </w:r>
      <w:r>
        <w:rPr>
          <w:rFonts w:cstheme="minorHAnsi"/>
          <w:color w:val="000000"/>
          <w:lang w:val="fr-CH"/>
        </w:rPr>
        <w:t>,</w:t>
      </w:r>
      <w:r w:rsidR="00756556">
        <w:rPr>
          <w:rFonts w:cstheme="minorHAnsi"/>
          <w:color w:val="000000"/>
          <w:lang w:val="fr-CH"/>
        </w:rPr>
        <w:t>89</w:t>
      </w:r>
      <w:r>
        <w:rPr>
          <w:rFonts w:cstheme="minorHAnsi"/>
          <w:color w:val="000000"/>
          <w:lang w:val="fr-CH"/>
        </w:rPr>
        <w:t>% entre la clôture du 31 décembre 2019 et le 3</w:t>
      </w:r>
      <w:r w:rsidR="00756556">
        <w:rPr>
          <w:rFonts w:cstheme="minorHAnsi"/>
          <w:color w:val="000000"/>
          <w:lang w:val="fr-CH"/>
        </w:rPr>
        <w:t>0</w:t>
      </w:r>
      <w:r>
        <w:rPr>
          <w:rFonts w:cstheme="minorHAnsi"/>
          <w:color w:val="000000"/>
          <w:lang w:val="fr-CH"/>
        </w:rPr>
        <w:t xml:space="preserve"> </w:t>
      </w:r>
      <w:r w:rsidR="00756556">
        <w:rPr>
          <w:rFonts w:cstheme="minorHAnsi"/>
          <w:color w:val="000000"/>
          <w:lang w:val="fr-CH"/>
        </w:rPr>
        <w:t xml:space="preserve">juin </w:t>
      </w:r>
      <w:r>
        <w:rPr>
          <w:rFonts w:cstheme="minorHAnsi"/>
          <w:color w:val="000000"/>
          <w:lang w:val="fr-CH"/>
        </w:rPr>
        <w:t>2020. L</w:t>
      </w:r>
      <w:r w:rsidRPr="00066729">
        <w:rPr>
          <w:rFonts w:cstheme="minorHAnsi"/>
          <w:color w:val="000000"/>
          <w:lang w:val="fr-CH"/>
        </w:rPr>
        <w:t xml:space="preserve">’indice MSCI </w:t>
      </w:r>
      <w:r>
        <w:rPr>
          <w:rFonts w:cstheme="minorHAnsi"/>
          <w:color w:val="000000"/>
          <w:lang w:val="fr-CH"/>
        </w:rPr>
        <w:t>Europe</w:t>
      </w:r>
      <w:r w:rsidRPr="00066729">
        <w:rPr>
          <w:rFonts w:cstheme="minorHAnsi"/>
          <w:color w:val="000000"/>
          <w:lang w:val="fr-CH"/>
        </w:rPr>
        <w:t xml:space="preserve">, libellé en EUR, </w:t>
      </w:r>
      <w:r>
        <w:rPr>
          <w:rFonts w:cstheme="minorHAnsi"/>
          <w:color w:val="000000"/>
          <w:lang w:val="fr-CH"/>
        </w:rPr>
        <w:t xml:space="preserve">a encore plus perdu, </w:t>
      </w:r>
      <w:r w:rsidRPr="00066729">
        <w:rPr>
          <w:rFonts w:cstheme="minorHAnsi"/>
          <w:color w:val="000000"/>
          <w:lang w:val="fr-CH"/>
        </w:rPr>
        <w:t>a</w:t>
      </w:r>
      <w:r>
        <w:rPr>
          <w:rFonts w:cstheme="minorHAnsi"/>
          <w:color w:val="000000"/>
          <w:lang w:val="fr-CH"/>
        </w:rPr>
        <w:t>près</w:t>
      </w:r>
      <w:r w:rsidRPr="00066729">
        <w:rPr>
          <w:rFonts w:cstheme="minorHAnsi"/>
          <w:color w:val="000000"/>
          <w:lang w:val="fr-CH"/>
        </w:rPr>
        <w:t xml:space="preserve"> dividendes réinvestis, </w:t>
      </w:r>
      <w:r>
        <w:rPr>
          <w:rFonts w:cstheme="minorHAnsi"/>
          <w:color w:val="000000"/>
          <w:lang w:val="fr-CH"/>
        </w:rPr>
        <w:t>affichant une performance de -</w:t>
      </w:r>
      <w:r w:rsidR="00756556">
        <w:rPr>
          <w:rFonts w:cstheme="minorHAnsi"/>
          <w:color w:val="000000"/>
          <w:lang w:val="fr-CH"/>
        </w:rPr>
        <w:t>1</w:t>
      </w:r>
      <w:r>
        <w:rPr>
          <w:rFonts w:cstheme="minorHAnsi"/>
          <w:color w:val="000000"/>
          <w:lang w:val="fr-CH"/>
        </w:rPr>
        <w:t>2</w:t>
      </w:r>
      <w:r w:rsidR="00756556">
        <w:rPr>
          <w:rFonts w:cstheme="minorHAnsi"/>
          <w:color w:val="000000"/>
          <w:lang w:val="fr-CH"/>
        </w:rPr>
        <w:t>,83</w:t>
      </w:r>
      <w:r w:rsidRPr="00066729">
        <w:rPr>
          <w:rFonts w:cstheme="minorHAnsi"/>
          <w:color w:val="000000"/>
          <w:lang w:val="fr-CH"/>
        </w:rPr>
        <w:t>%</w:t>
      </w:r>
      <w:r>
        <w:rPr>
          <w:rFonts w:cstheme="minorHAnsi"/>
          <w:color w:val="000000"/>
          <w:lang w:val="fr-CH"/>
        </w:rPr>
        <w:t xml:space="preserve"> sur la même période</w:t>
      </w:r>
      <w:r w:rsidRPr="00066729">
        <w:rPr>
          <w:rFonts w:cstheme="minorHAnsi"/>
          <w:color w:val="000000"/>
          <w:lang w:val="fr-CH"/>
        </w:rPr>
        <w:t>.</w:t>
      </w:r>
    </w:p>
    <w:p w14:paraId="4E358784" w14:textId="335A2A19" w:rsidR="00797882" w:rsidRPr="007872A5" w:rsidRDefault="00776614" w:rsidP="00797882">
      <w:pPr>
        <w:jc w:val="both"/>
        <w:rPr>
          <w:i/>
          <w:color w:val="000000"/>
          <w:lang w:val="fr-LU"/>
        </w:rPr>
      </w:pPr>
      <w:r w:rsidRPr="0040613E">
        <w:rPr>
          <w:rFonts w:cstheme="minorHAnsi"/>
          <w:i/>
          <w:noProof/>
          <w:color w:val="000000"/>
          <w:lang w:val="en-US" w:eastAsia="en-US"/>
        </w:rPr>
        <w:lastRenderedPageBreak/>
        <w:drawing>
          <wp:anchor distT="0" distB="0" distL="114300" distR="114300" simplePos="0" relativeHeight="251665408" behindDoc="0" locked="0" layoutInCell="1" allowOverlap="1" wp14:anchorId="5E2F1B18" wp14:editId="57B74B58">
            <wp:simplePos x="0" y="0"/>
            <wp:positionH relativeFrom="page">
              <wp:posOffset>1095375</wp:posOffset>
            </wp:positionH>
            <wp:positionV relativeFrom="paragraph">
              <wp:posOffset>229870</wp:posOffset>
            </wp:positionV>
            <wp:extent cx="5468620" cy="2145030"/>
            <wp:effectExtent l="0" t="0" r="0" b="7620"/>
            <wp:wrapSquare wrapText="bothSides"/>
            <wp:docPr id="6" name="Picture 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I Worl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8620" cy="2145030"/>
                    </a:xfrm>
                    <a:prstGeom prst="rect">
                      <a:avLst/>
                    </a:prstGeom>
                  </pic:spPr>
                </pic:pic>
              </a:graphicData>
            </a:graphic>
            <wp14:sizeRelH relativeFrom="margin">
              <wp14:pctWidth>0</wp14:pctWidth>
            </wp14:sizeRelH>
            <wp14:sizeRelV relativeFrom="margin">
              <wp14:pctHeight>0</wp14:pctHeight>
            </wp14:sizeRelV>
          </wp:anchor>
        </w:drawing>
      </w:r>
      <w:r w:rsidR="00797882" w:rsidRPr="007872A5">
        <w:rPr>
          <w:i/>
          <w:color w:val="000000"/>
          <w:lang w:val="fr-LU"/>
        </w:rPr>
        <w:t>Evolution d</w:t>
      </w:r>
      <w:r w:rsidR="001D4C49" w:rsidRPr="007872A5">
        <w:rPr>
          <w:i/>
          <w:color w:val="000000"/>
          <w:lang w:val="fr-LU"/>
        </w:rPr>
        <w:t xml:space="preserve">u MSCI World Index </w:t>
      </w:r>
      <w:r w:rsidR="00797882" w:rsidRPr="007872A5">
        <w:rPr>
          <w:i/>
          <w:color w:val="000000"/>
          <w:lang w:val="fr-LU"/>
        </w:rPr>
        <w:t>depuis le début de l’année</w:t>
      </w:r>
    </w:p>
    <w:p w14:paraId="6214ACC9" w14:textId="4914E275" w:rsidR="00797882" w:rsidRPr="0040613E" w:rsidRDefault="00797882" w:rsidP="00797882">
      <w:pPr>
        <w:jc w:val="both"/>
        <w:rPr>
          <w:rFonts w:cstheme="minorHAnsi"/>
          <w:b/>
        </w:rPr>
      </w:pPr>
      <w:r w:rsidRPr="00D90090">
        <w:rPr>
          <w:rFonts w:ascii="Calibri" w:hAnsi="Calibri" w:cs="Calibri"/>
          <w:sz w:val="11"/>
          <w:szCs w:val="11"/>
        </w:rPr>
        <w:t>Data source: Bloomberg Finance L.P. Used with the permission of Bloomberg</w:t>
      </w:r>
    </w:p>
    <w:p w14:paraId="417F1FB8" w14:textId="16EFBCD0" w:rsidR="00797882" w:rsidRDefault="00797882" w:rsidP="00D0564B">
      <w:pPr>
        <w:jc w:val="both"/>
        <w:rPr>
          <w:rFonts w:cstheme="minorHAnsi"/>
          <w:b/>
        </w:rPr>
      </w:pPr>
    </w:p>
    <w:p w14:paraId="13E9AFDA" w14:textId="79A3AB47" w:rsidR="001D4C49" w:rsidRPr="007872A5" w:rsidRDefault="0040613E" w:rsidP="001D4C49">
      <w:pPr>
        <w:jc w:val="both"/>
        <w:rPr>
          <w:i/>
          <w:color w:val="000000"/>
          <w:lang w:val="fr-LU"/>
        </w:rPr>
      </w:pPr>
      <w:r w:rsidRPr="0040613E">
        <w:rPr>
          <w:rFonts w:cstheme="minorHAnsi"/>
          <w:b/>
          <w:i/>
          <w:noProof/>
          <w:lang w:val="en-US" w:eastAsia="en-US"/>
        </w:rPr>
        <w:drawing>
          <wp:anchor distT="0" distB="0" distL="114300" distR="114300" simplePos="0" relativeHeight="251666432" behindDoc="0" locked="0" layoutInCell="1" allowOverlap="1" wp14:anchorId="41FA4360" wp14:editId="5F5152AD">
            <wp:simplePos x="0" y="0"/>
            <wp:positionH relativeFrom="column">
              <wp:posOffset>15240</wp:posOffset>
            </wp:positionH>
            <wp:positionV relativeFrom="paragraph">
              <wp:posOffset>330200</wp:posOffset>
            </wp:positionV>
            <wp:extent cx="5468620" cy="2141220"/>
            <wp:effectExtent l="0" t="0" r="0" b="0"/>
            <wp:wrapSquare wrapText="bothSides"/>
            <wp:docPr id="7"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SCI Euro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8620" cy="2141220"/>
                    </a:xfrm>
                    <a:prstGeom prst="rect">
                      <a:avLst/>
                    </a:prstGeom>
                  </pic:spPr>
                </pic:pic>
              </a:graphicData>
            </a:graphic>
            <wp14:sizeRelH relativeFrom="margin">
              <wp14:pctWidth>0</wp14:pctWidth>
            </wp14:sizeRelH>
            <wp14:sizeRelV relativeFrom="margin">
              <wp14:pctHeight>0</wp14:pctHeight>
            </wp14:sizeRelV>
          </wp:anchor>
        </w:drawing>
      </w:r>
      <w:r w:rsidR="001D4C49" w:rsidRPr="007872A5">
        <w:rPr>
          <w:i/>
          <w:color w:val="000000"/>
          <w:lang w:val="fr-LU"/>
        </w:rPr>
        <w:t>Evolution du MSCI Europe Index depuis le début de l’année</w:t>
      </w:r>
    </w:p>
    <w:p w14:paraId="070BFABE" w14:textId="272469A2" w:rsidR="001D4C49" w:rsidRPr="00D90090" w:rsidRDefault="001D4C49" w:rsidP="001D4C49">
      <w:pPr>
        <w:jc w:val="both"/>
        <w:rPr>
          <w:rFonts w:cstheme="minorHAnsi"/>
          <w:b/>
        </w:rPr>
      </w:pPr>
      <w:r w:rsidRPr="00D90090">
        <w:rPr>
          <w:rFonts w:ascii="Calibri" w:hAnsi="Calibri" w:cs="Calibri"/>
          <w:sz w:val="11"/>
          <w:szCs w:val="11"/>
        </w:rPr>
        <w:t>Data source: Bloomberg Finance L.P. Used with the permission of Bloomberg</w:t>
      </w:r>
    </w:p>
    <w:p w14:paraId="6D8E19B5" w14:textId="2201B3AC" w:rsidR="001D4C49" w:rsidRPr="0040613E" w:rsidRDefault="001D4C49" w:rsidP="00D0564B">
      <w:pPr>
        <w:jc w:val="both"/>
        <w:rPr>
          <w:rFonts w:cstheme="minorHAnsi"/>
          <w:b/>
        </w:rPr>
      </w:pPr>
    </w:p>
    <w:p w14:paraId="09BBF51B" w14:textId="70ECDAD6" w:rsidR="00D0564B" w:rsidRPr="00066729" w:rsidRDefault="00D0564B" w:rsidP="00D0564B">
      <w:pPr>
        <w:jc w:val="both"/>
        <w:rPr>
          <w:rFonts w:cstheme="minorHAnsi"/>
          <w:b/>
          <w:lang w:val="fr-FR"/>
        </w:rPr>
      </w:pPr>
      <w:r w:rsidRPr="00066729">
        <w:rPr>
          <w:rFonts w:cstheme="minorHAnsi"/>
          <w:b/>
          <w:lang w:val="fr-FR"/>
        </w:rPr>
        <w:t>Les actifs du fonds</w:t>
      </w:r>
    </w:p>
    <w:p w14:paraId="0AB6C5C2" w14:textId="64856174" w:rsidR="00D0564B" w:rsidRPr="00066729" w:rsidRDefault="00D0564B" w:rsidP="00D0564B">
      <w:pPr>
        <w:jc w:val="both"/>
        <w:rPr>
          <w:rFonts w:cstheme="minorHAnsi"/>
          <w:b/>
          <w:lang w:val="fr-CH"/>
        </w:rPr>
      </w:pPr>
      <w:r w:rsidRPr="00066729">
        <w:rPr>
          <w:rFonts w:cstheme="minorHAnsi"/>
          <w:b/>
          <w:lang w:val="fr-CH"/>
        </w:rPr>
        <w:t>Allocation et performance</w:t>
      </w:r>
    </w:p>
    <w:p w14:paraId="20CD58C1" w14:textId="1F1D7762" w:rsidR="00D0564B" w:rsidRDefault="00D0564B" w:rsidP="00D0564B">
      <w:pPr>
        <w:jc w:val="both"/>
        <w:rPr>
          <w:lang w:val="fr-CH"/>
        </w:rPr>
      </w:pPr>
      <w:r>
        <w:rPr>
          <w:lang w:val="fr-CH"/>
        </w:rPr>
        <w:t>L’allocation stratégique du Fonds souverain est la suivante :</w:t>
      </w:r>
    </w:p>
    <w:p w14:paraId="00D29D36" w14:textId="3DA9E445" w:rsidR="00D0564B" w:rsidRDefault="00D0564B" w:rsidP="00D0564B">
      <w:pPr>
        <w:pStyle w:val="ListParagraph"/>
        <w:numPr>
          <w:ilvl w:val="0"/>
          <w:numId w:val="35"/>
        </w:numPr>
        <w:jc w:val="both"/>
        <w:rPr>
          <w:lang w:val="fr-CH"/>
        </w:rPr>
      </w:pPr>
      <w:r w:rsidRPr="003271CA">
        <w:rPr>
          <w:b/>
          <w:lang w:val="fr-CH"/>
        </w:rPr>
        <w:t>3%</w:t>
      </w:r>
      <w:r w:rsidRPr="003271CA">
        <w:rPr>
          <w:lang w:val="fr-CH"/>
        </w:rPr>
        <w:t xml:space="preserve"> </w:t>
      </w:r>
      <w:r>
        <w:rPr>
          <w:lang w:val="fr-CH"/>
        </w:rPr>
        <w:t>de</w:t>
      </w:r>
      <w:r w:rsidRPr="003271CA">
        <w:rPr>
          <w:b/>
          <w:lang w:val="fr-CH"/>
        </w:rPr>
        <w:t xml:space="preserve"> liquidités</w:t>
      </w:r>
      <w:r w:rsidRPr="003271CA">
        <w:rPr>
          <w:lang w:val="fr-CH"/>
        </w:rPr>
        <w:t xml:space="preserve">, </w:t>
      </w:r>
    </w:p>
    <w:p w14:paraId="2AE5E3D4" w14:textId="7CC286BC" w:rsidR="00D0564B" w:rsidRPr="003271CA" w:rsidRDefault="00D0564B" w:rsidP="00D0564B">
      <w:pPr>
        <w:pStyle w:val="ListParagraph"/>
        <w:numPr>
          <w:ilvl w:val="0"/>
          <w:numId w:val="35"/>
        </w:numPr>
        <w:jc w:val="both"/>
        <w:rPr>
          <w:lang w:val="fr-CH"/>
        </w:rPr>
      </w:pPr>
      <w:r>
        <w:rPr>
          <w:b/>
          <w:lang w:val="fr-CH"/>
        </w:rPr>
        <w:t>5</w:t>
      </w:r>
      <w:r w:rsidRPr="003271CA">
        <w:rPr>
          <w:b/>
          <w:lang w:val="fr-CH"/>
        </w:rPr>
        <w:t xml:space="preserve">7% </w:t>
      </w:r>
      <w:r>
        <w:rPr>
          <w:b/>
          <w:lang w:val="fr-CH"/>
        </w:rPr>
        <w:t>d’</w:t>
      </w:r>
      <w:r w:rsidRPr="003271CA">
        <w:rPr>
          <w:b/>
          <w:lang w:val="fr-CH"/>
        </w:rPr>
        <w:t>obligations</w:t>
      </w:r>
      <w:r w:rsidRPr="003271CA">
        <w:rPr>
          <w:lang w:val="fr-CH"/>
        </w:rPr>
        <w:t xml:space="preserve">, </w:t>
      </w:r>
      <w:r w:rsidRPr="003271CA">
        <w:rPr>
          <w:lang w:val="fr-FR"/>
        </w:rPr>
        <w:t>de notation « </w:t>
      </w:r>
      <w:proofErr w:type="spellStart"/>
      <w:r w:rsidRPr="003271CA">
        <w:rPr>
          <w:i/>
          <w:lang w:val="fr-FR"/>
        </w:rPr>
        <w:t>investment</w:t>
      </w:r>
      <w:proofErr w:type="spellEnd"/>
      <w:r w:rsidRPr="003271CA">
        <w:rPr>
          <w:i/>
          <w:lang w:val="fr-FR"/>
        </w:rPr>
        <w:t xml:space="preserve"> grade</w:t>
      </w:r>
      <w:r w:rsidRPr="003271CA">
        <w:rPr>
          <w:lang w:val="fr-FR"/>
        </w:rPr>
        <w:t xml:space="preserve"> », dont </w:t>
      </w:r>
      <w:r w:rsidRPr="003271CA">
        <w:rPr>
          <w:b/>
          <w:lang w:val="fr-FR"/>
        </w:rPr>
        <w:t>29% libellées en EUR,</w:t>
      </w:r>
      <w:r w:rsidRPr="003271CA">
        <w:rPr>
          <w:lang w:val="fr-FR"/>
        </w:rPr>
        <w:t xml:space="preserve"> représentées par l’indice </w:t>
      </w:r>
      <w:r>
        <w:rPr>
          <w:lang w:val="fr-FR"/>
        </w:rPr>
        <w:t xml:space="preserve">Bloomberg </w:t>
      </w:r>
      <w:r w:rsidRPr="003271CA">
        <w:rPr>
          <w:lang w:val="fr-FR"/>
        </w:rPr>
        <w:t xml:space="preserve">Barclays Euro </w:t>
      </w:r>
      <w:proofErr w:type="spellStart"/>
      <w:r w:rsidRPr="003271CA">
        <w:rPr>
          <w:lang w:val="fr-FR"/>
        </w:rPr>
        <w:t>Aggregate</w:t>
      </w:r>
      <w:proofErr w:type="spellEnd"/>
      <w:r w:rsidRPr="003271CA">
        <w:rPr>
          <w:lang w:val="fr-FR"/>
        </w:rPr>
        <w:t xml:space="preserve"> Total Return Index Value </w:t>
      </w:r>
      <w:proofErr w:type="spellStart"/>
      <w:r w:rsidRPr="003271CA">
        <w:rPr>
          <w:lang w:val="fr-FR"/>
        </w:rPr>
        <w:t>Unhedged</w:t>
      </w:r>
      <w:proofErr w:type="spellEnd"/>
      <w:r w:rsidRPr="003271CA">
        <w:rPr>
          <w:lang w:val="fr-FR"/>
        </w:rPr>
        <w:t xml:space="preserve"> EUR et </w:t>
      </w:r>
      <w:r w:rsidRPr="003271CA">
        <w:rPr>
          <w:b/>
          <w:lang w:val="fr-FR"/>
        </w:rPr>
        <w:t>28% libellées en USD,</w:t>
      </w:r>
      <w:r w:rsidRPr="003271CA">
        <w:rPr>
          <w:lang w:val="fr-FR"/>
        </w:rPr>
        <w:t xml:space="preserve"> représentées par l’indice </w:t>
      </w:r>
      <w:r>
        <w:rPr>
          <w:lang w:val="fr-FR"/>
        </w:rPr>
        <w:t xml:space="preserve">Bloomberg </w:t>
      </w:r>
      <w:r w:rsidRPr="003271CA">
        <w:rPr>
          <w:lang w:val="fr-FR"/>
        </w:rPr>
        <w:t xml:space="preserve">Barclays US </w:t>
      </w:r>
      <w:proofErr w:type="spellStart"/>
      <w:r w:rsidRPr="003271CA">
        <w:rPr>
          <w:lang w:val="fr-FR"/>
        </w:rPr>
        <w:t>Aggregate</w:t>
      </w:r>
      <w:proofErr w:type="spellEnd"/>
      <w:r w:rsidRPr="003271CA">
        <w:rPr>
          <w:lang w:val="fr-FR"/>
        </w:rPr>
        <w:t xml:space="preserve"> Total Return Index Value </w:t>
      </w:r>
      <w:proofErr w:type="spellStart"/>
      <w:r w:rsidRPr="003271CA">
        <w:rPr>
          <w:lang w:val="fr-FR"/>
        </w:rPr>
        <w:t>Unhedged</w:t>
      </w:r>
      <w:proofErr w:type="spellEnd"/>
      <w:r w:rsidRPr="003271CA">
        <w:rPr>
          <w:lang w:val="fr-FR"/>
        </w:rPr>
        <w:t xml:space="preserve"> USD, </w:t>
      </w:r>
      <w:r w:rsidRPr="003271CA">
        <w:rPr>
          <w:b/>
          <w:lang w:val="fr-FR"/>
        </w:rPr>
        <w:t xml:space="preserve">avec une couverture de change </w:t>
      </w:r>
      <w:r w:rsidRPr="003271CA">
        <w:rPr>
          <w:lang w:val="fr-FR"/>
        </w:rPr>
        <w:t xml:space="preserve">entre 90% et 100% du montant nominal de la position libellée en USD </w:t>
      </w:r>
      <w:r>
        <w:rPr>
          <w:lang w:val="fr-FR"/>
        </w:rPr>
        <w:t>par rapport à l’EUR, et</w:t>
      </w:r>
    </w:p>
    <w:p w14:paraId="5062133C" w14:textId="525B881A" w:rsidR="00D0564B" w:rsidRPr="003271CA" w:rsidRDefault="00D0564B" w:rsidP="00D0564B">
      <w:pPr>
        <w:pStyle w:val="ListParagraph"/>
        <w:numPr>
          <w:ilvl w:val="0"/>
          <w:numId w:val="35"/>
        </w:numPr>
        <w:jc w:val="both"/>
        <w:rPr>
          <w:lang w:val="fr-CH"/>
        </w:rPr>
      </w:pPr>
      <w:r w:rsidRPr="003271CA">
        <w:rPr>
          <w:b/>
          <w:lang w:val="fr-FR"/>
        </w:rPr>
        <w:t xml:space="preserve">40% </w:t>
      </w:r>
      <w:r>
        <w:rPr>
          <w:b/>
          <w:lang w:val="fr-FR"/>
        </w:rPr>
        <w:t>d’</w:t>
      </w:r>
      <w:r w:rsidRPr="003271CA">
        <w:rPr>
          <w:b/>
          <w:lang w:val="fr-FR"/>
        </w:rPr>
        <w:t>actions</w:t>
      </w:r>
      <w:r w:rsidRPr="003271CA">
        <w:rPr>
          <w:lang w:val="fr-FR"/>
        </w:rPr>
        <w:t xml:space="preserve">, dont </w:t>
      </w:r>
      <w:r w:rsidRPr="003271CA">
        <w:rPr>
          <w:b/>
          <w:lang w:val="fr-FR"/>
        </w:rPr>
        <w:t>25%</w:t>
      </w:r>
      <w:r w:rsidRPr="003271CA">
        <w:rPr>
          <w:lang w:val="fr-FR"/>
        </w:rPr>
        <w:t xml:space="preserve"> </w:t>
      </w:r>
      <w:r w:rsidRPr="003271CA">
        <w:rPr>
          <w:b/>
          <w:lang w:val="fr-FR"/>
        </w:rPr>
        <w:t>en actions des</w:t>
      </w:r>
      <w:r w:rsidRPr="003271CA">
        <w:rPr>
          <w:lang w:val="fr-FR"/>
        </w:rPr>
        <w:t xml:space="preserve"> </w:t>
      </w:r>
      <w:r w:rsidRPr="003271CA">
        <w:rPr>
          <w:b/>
          <w:lang w:val="fr-FR"/>
        </w:rPr>
        <w:t>pays développés</w:t>
      </w:r>
      <w:r w:rsidRPr="003271CA">
        <w:rPr>
          <w:lang w:val="fr-FR"/>
        </w:rPr>
        <w:t xml:space="preserve">, représentées par l’indice MSCI Daily Net Total Return World USD, libellé en EUR et </w:t>
      </w:r>
      <w:r w:rsidRPr="003271CA">
        <w:rPr>
          <w:b/>
          <w:lang w:val="fr-FR"/>
        </w:rPr>
        <w:t>15%</w:t>
      </w:r>
      <w:r w:rsidRPr="003271CA">
        <w:rPr>
          <w:lang w:val="fr-FR"/>
        </w:rPr>
        <w:t xml:space="preserve"> </w:t>
      </w:r>
      <w:r w:rsidRPr="003271CA">
        <w:rPr>
          <w:b/>
          <w:lang w:val="fr-FR"/>
        </w:rPr>
        <w:t>en actions européennes</w:t>
      </w:r>
      <w:r w:rsidRPr="003271CA">
        <w:rPr>
          <w:lang w:val="fr-FR"/>
        </w:rPr>
        <w:t>, représentées par l’indice MSCI Daily Net Total Return Europe, libellé en EUR.</w:t>
      </w:r>
    </w:p>
    <w:p w14:paraId="552E8CB4" w14:textId="270723D8" w:rsidR="0039513F" w:rsidRDefault="0039513F" w:rsidP="00D0564B">
      <w:pPr>
        <w:jc w:val="both"/>
        <w:rPr>
          <w:noProof/>
          <w:highlight w:val="yellow"/>
          <w:lang w:val="en-US" w:eastAsia="en-US"/>
        </w:rPr>
      </w:pPr>
      <w:r>
        <w:rPr>
          <w:noProof/>
          <w:highlight w:val="yellow"/>
          <w:lang w:val="en-US" w:eastAsia="en-US"/>
        </w:rPr>
        <w:lastRenderedPageBreak/>
        <w:drawing>
          <wp:inline distT="0" distB="0" distL="0" distR="0" wp14:anchorId="6B6DD628" wp14:editId="08066D67">
            <wp:extent cx="5697220" cy="22263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2386" cy="2267406"/>
                    </a:xfrm>
                    <a:prstGeom prst="rect">
                      <a:avLst/>
                    </a:prstGeom>
                    <a:noFill/>
                  </pic:spPr>
                </pic:pic>
              </a:graphicData>
            </a:graphic>
          </wp:inline>
        </w:drawing>
      </w:r>
    </w:p>
    <w:p w14:paraId="10A331AF" w14:textId="77777777" w:rsidR="0039513F" w:rsidRDefault="0039513F" w:rsidP="00D0564B">
      <w:pPr>
        <w:jc w:val="both"/>
        <w:rPr>
          <w:noProof/>
          <w:highlight w:val="yellow"/>
          <w:lang w:val="en-US" w:eastAsia="en-US"/>
        </w:rPr>
      </w:pPr>
    </w:p>
    <w:p w14:paraId="5051EE14" w14:textId="77777777" w:rsidR="0039513F" w:rsidRDefault="0039513F" w:rsidP="00D0564B">
      <w:pPr>
        <w:jc w:val="both"/>
        <w:rPr>
          <w:noProof/>
          <w:highlight w:val="yellow"/>
          <w:lang w:val="en-US" w:eastAsia="en-US"/>
        </w:rPr>
      </w:pPr>
    </w:p>
    <w:p w14:paraId="5D88B442" w14:textId="7BC79F4E" w:rsidR="00D0564B" w:rsidRDefault="00A90BF9" w:rsidP="00D0564B">
      <w:pPr>
        <w:jc w:val="both"/>
        <w:rPr>
          <w:lang w:val="fr-FR"/>
        </w:rPr>
      </w:pPr>
      <w:r w:rsidRPr="00751315">
        <w:rPr>
          <w:lang w:val="fr-FR"/>
        </w:rPr>
        <w:t>Les ETF qui suivent les indices boursiers MSCI World SRI et MSCI Europe SRI ayant atteint la taille nécessaire pour qu’un investissement du Fonds puisse s’y faire tout en respectant ses limites d’investissement, le Fonds a décidé début juin 2020 de réorienter son exposition exclusivement sur des ETF suivant ces indices MSCI SRI.</w:t>
      </w:r>
      <w:r w:rsidR="00BF58DE" w:rsidRPr="00751315">
        <w:rPr>
          <w:lang w:val="fr-FR"/>
        </w:rPr>
        <w:t xml:space="preserve"> Ainsi, les positions sur les ETF suivant les indices </w:t>
      </w:r>
      <w:r w:rsidR="00173CB0" w:rsidRPr="00751315">
        <w:rPr>
          <w:lang w:val="fr-FR"/>
        </w:rPr>
        <w:t xml:space="preserve">actions MSCI </w:t>
      </w:r>
      <w:r w:rsidR="00BF58DE" w:rsidRPr="00751315">
        <w:rPr>
          <w:lang w:val="fr-FR"/>
        </w:rPr>
        <w:t xml:space="preserve">« non SRI » furent vendus pour acquérir des ETF suivant les indices </w:t>
      </w:r>
      <w:r w:rsidR="00173CB0" w:rsidRPr="00751315">
        <w:rPr>
          <w:lang w:val="fr-FR"/>
        </w:rPr>
        <w:t xml:space="preserve">MSCI </w:t>
      </w:r>
      <w:r w:rsidR="00BF58DE" w:rsidRPr="00751315">
        <w:rPr>
          <w:lang w:val="fr-FR"/>
        </w:rPr>
        <w:t>« SRI ».</w:t>
      </w:r>
      <w:r w:rsidR="0040613E" w:rsidRPr="00751315">
        <w:rPr>
          <w:lang w:val="fr-FR"/>
        </w:rPr>
        <w:t xml:space="preserve"> L’intégralité de </w:t>
      </w:r>
      <w:r w:rsidR="00756556" w:rsidRPr="00751315">
        <w:rPr>
          <w:lang w:val="fr-FR"/>
        </w:rPr>
        <w:t>l’exposition « actions » du Fonds est SRI-</w:t>
      </w:r>
      <w:proofErr w:type="spellStart"/>
      <w:r w:rsidR="00756556" w:rsidRPr="00751315">
        <w:rPr>
          <w:lang w:val="fr-FR"/>
        </w:rPr>
        <w:t>compliant</w:t>
      </w:r>
      <w:proofErr w:type="spellEnd"/>
      <w:r w:rsidR="0040613E" w:rsidRPr="00751315">
        <w:rPr>
          <w:lang w:val="fr-FR"/>
        </w:rPr>
        <w:t xml:space="preserve"> au 30 juin 2020</w:t>
      </w:r>
      <w:r w:rsidR="00756556" w:rsidRPr="00751315">
        <w:rPr>
          <w:lang w:val="fr-FR"/>
        </w:rPr>
        <w:t>.</w:t>
      </w:r>
      <w:r w:rsidR="00756556">
        <w:rPr>
          <w:lang w:val="fr-FR"/>
        </w:rPr>
        <w:t xml:space="preserve"> </w:t>
      </w:r>
    </w:p>
    <w:p w14:paraId="5BF0A80F" w14:textId="5814A71A" w:rsidR="0040613E" w:rsidRPr="0040613E" w:rsidRDefault="0040613E" w:rsidP="00D0564B">
      <w:pPr>
        <w:spacing w:before="120"/>
        <w:jc w:val="both"/>
        <w:rPr>
          <w:rFonts w:cstheme="minorHAnsi"/>
          <w:b/>
          <w:color w:val="000000"/>
          <w:lang w:val="fr-FR"/>
        </w:rPr>
      </w:pPr>
      <w:r w:rsidRPr="0040613E">
        <w:rPr>
          <w:rFonts w:cstheme="minorHAnsi"/>
          <w:b/>
          <w:color w:val="000000"/>
          <w:lang w:val="fr-FR"/>
        </w:rPr>
        <w:t>Actif total et rendement</w:t>
      </w:r>
    </w:p>
    <w:p w14:paraId="7C76B7EE" w14:textId="670F444F" w:rsidR="00D0564B" w:rsidRDefault="00D0564B" w:rsidP="00D0564B">
      <w:pPr>
        <w:spacing w:before="120"/>
        <w:jc w:val="both"/>
        <w:rPr>
          <w:rFonts w:cstheme="minorHAnsi"/>
          <w:color w:val="000000"/>
          <w:lang w:val="fr-CH"/>
        </w:rPr>
      </w:pPr>
      <w:r>
        <w:rPr>
          <w:rFonts w:cstheme="minorHAnsi"/>
          <w:color w:val="000000"/>
          <w:lang w:val="fr-CH"/>
        </w:rPr>
        <w:t>Au 3</w:t>
      </w:r>
      <w:r w:rsidR="00756556">
        <w:rPr>
          <w:rFonts w:cstheme="minorHAnsi"/>
          <w:color w:val="000000"/>
          <w:lang w:val="fr-CH"/>
        </w:rPr>
        <w:t>0 juin</w:t>
      </w:r>
      <w:r>
        <w:rPr>
          <w:rFonts w:cstheme="minorHAnsi"/>
          <w:color w:val="000000"/>
          <w:lang w:val="fr-CH"/>
        </w:rPr>
        <w:t xml:space="preserve"> 2020, le Fonds souverain fait état d’un actif total d’EUR </w:t>
      </w:r>
      <w:r w:rsidR="00A90BF9">
        <w:rPr>
          <w:rFonts w:cstheme="minorHAnsi"/>
          <w:color w:val="000000"/>
          <w:lang w:val="fr-CH"/>
        </w:rPr>
        <w:t>375'233'964,66</w:t>
      </w:r>
      <w:r>
        <w:rPr>
          <w:rFonts w:cstheme="minorHAnsi"/>
          <w:color w:val="000000"/>
          <w:lang w:val="fr-CH"/>
        </w:rPr>
        <w:t xml:space="preserve"> par rapport à </w:t>
      </w:r>
      <w:r w:rsidRPr="00740B42">
        <w:rPr>
          <w:rFonts w:cstheme="minorHAnsi"/>
          <w:color w:val="000000"/>
          <w:lang w:val="fr-CH"/>
        </w:rPr>
        <w:t>EUR 326'728'552,22 au 31 décembre 201</w:t>
      </w:r>
      <w:r>
        <w:rPr>
          <w:rFonts w:cstheme="minorHAnsi"/>
          <w:color w:val="000000"/>
          <w:lang w:val="fr-CH"/>
        </w:rPr>
        <w:t>9</w:t>
      </w:r>
      <w:r w:rsidRPr="00740B42">
        <w:rPr>
          <w:rFonts w:cstheme="minorHAnsi"/>
          <w:color w:val="000000"/>
          <w:lang w:val="fr-CH"/>
        </w:rPr>
        <w:t>.</w:t>
      </w:r>
    </w:p>
    <w:p w14:paraId="0F1383C7" w14:textId="45147C39" w:rsidR="0040613E" w:rsidRDefault="00D0564B" w:rsidP="00D0564B">
      <w:pPr>
        <w:spacing w:after="120"/>
        <w:jc w:val="both"/>
        <w:rPr>
          <w:rFonts w:cstheme="minorHAnsi"/>
          <w:color w:val="000000"/>
          <w:lang w:val="fr-CH"/>
        </w:rPr>
      </w:pPr>
      <w:r>
        <w:rPr>
          <w:rFonts w:cstheme="minorHAnsi"/>
          <w:color w:val="000000"/>
          <w:lang w:val="fr-CH"/>
        </w:rPr>
        <w:t>En ce 1</w:t>
      </w:r>
      <w:r w:rsidRPr="00277A6D">
        <w:rPr>
          <w:rFonts w:cstheme="minorHAnsi"/>
          <w:color w:val="000000"/>
          <w:vertAlign w:val="superscript"/>
          <w:lang w:val="fr-CH"/>
        </w:rPr>
        <w:t>er</w:t>
      </w:r>
      <w:r>
        <w:rPr>
          <w:rFonts w:cstheme="minorHAnsi"/>
          <w:color w:val="000000"/>
          <w:lang w:val="fr-CH"/>
        </w:rPr>
        <w:t xml:space="preserve"> </w:t>
      </w:r>
      <w:r w:rsidR="00756556">
        <w:rPr>
          <w:rFonts w:cstheme="minorHAnsi"/>
          <w:color w:val="000000"/>
          <w:lang w:val="fr-CH"/>
        </w:rPr>
        <w:t>se</w:t>
      </w:r>
      <w:r>
        <w:rPr>
          <w:rFonts w:cstheme="minorHAnsi"/>
          <w:color w:val="000000"/>
          <w:lang w:val="fr-CH"/>
        </w:rPr>
        <w:t>mestre 2020, la performance du Fonds est de -</w:t>
      </w:r>
      <w:r w:rsidR="00756556">
        <w:rPr>
          <w:rFonts w:cstheme="minorHAnsi"/>
          <w:color w:val="000000"/>
          <w:lang w:val="fr-CH"/>
        </w:rPr>
        <w:t>1</w:t>
      </w:r>
      <w:r>
        <w:rPr>
          <w:rFonts w:cstheme="minorHAnsi"/>
          <w:color w:val="000000"/>
          <w:lang w:val="fr-CH"/>
        </w:rPr>
        <w:t>,</w:t>
      </w:r>
      <w:r w:rsidR="00756556">
        <w:rPr>
          <w:rFonts w:cstheme="minorHAnsi"/>
          <w:color w:val="000000"/>
          <w:lang w:val="fr-CH"/>
        </w:rPr>
        <w:t>98</w:t>
      </w:r>
      <w:r>
        <w:rPr>
          <w:rFonts w:cstheme="minorHAnsi"/>
          <w:color w:val="000000"/>
          <w:lang w:val="fr-CH"/>
        </w:rPr>
        <w:t>% en « time-</w:t>
      </w:r>
      <w:proofErr w:type="spellStart"/>
      <w:r>
        <w:rPr>
          <w:rFonts w:cstheme="minorHAnsi"/>
          <w:color w:val="000000"/>
          <w:lang w:val="fr-CH"/>
        </w:rPr>
        <w:t>weighted</w:t>
      </w:r>
      <w:proofErr w:type="spellEnd"/>
      <w:r>
        <w:rPr>
          <w:rFonts w:cstheme="minorHAnsi"/>
          <w:color w:val="000000"/>
          <w:lang w:val="fr-CH"/>
        </w:rPr>
        <w:t xml:space="preserve"> return » </w:t>
      </w:r>
      <w:r w:rsidR="00756556">
        <w:rPr>
          <w:rFonts w:cstheme="minorHAnsi"/>
          <w:color w:val="000000"/>
          <w:lang w:val="fr-CH"/>
        </w:rPr>
        <w:t xml:space="preserve">et de -1,37% </w:t>
      </w:r>
      <w:r>
        <w:rPr>
          <w:rFonts w:cstheme="minorHAnsi"/>
          <w:color w:val="000000"/>
          <w:lang w:val="fr-CH"/>
        </w:rPr>
        <w:t>en « money-</w:t>
      </w:r>
      <w:proofErr w:type="spellStart"/>
      <w:r>
        <w:rPr>
          <w:rFonts w:cstheme="minorHAnsi"/>
          <w:color w:val="000000"/>
          <w:lang w:val="fr-CH"/>
        </w:rPr>
        <w:t>weighted</w:t>
      </w:r>
      <w:proofErr w:type="spellEnd"/>
      <w:r>
        <w:rPr>
          <w:rFonts w:cstheme="minorHAnsi"/>
          <w:color w:val="000000"/>
          <w:lang w:val="fr-CH"/>
        </w:rPr>
        <w:t xml:space="preserve"> return »</w:t>
      </w:r>
      <w:r w:rsidR="00BA3882">
        <w:rPr>
          <w:rFonts w:cstheme="minorHAnsi"/>
          <w:color w:val="000000"/>
          <w:lang w:val="fr-CH"/>
        </w:rPr>
        <w:t xml:space="preserve"> depuis le début de l’année</w:t>
      </w:r>
      <w:r>
        <w:rPr>
          <w:rFonts w:cstheme="minorHAnsi"/>
          <w:color w:val="000000"/>
          <w:lang w:val="fr-CH"/>
        </w:rPr>
        <w:t xml:space="preserve">. </w:t>
      </w:r>
    </w:p>
    <w:p w14:paraId="717B1DA5" w14:textId="5224991A" w:rsidR="00D0564B" w:rsidRDefault="00D0564B" w:rsidP="00D0564B">
      <w:pPr>
        <w:spacing w:after="120"/>
        <w:jc w:val="both"/>
        <w:rPr>
          <w:rFonts w:cstheme="minorHAnsi"/>
          <w:color w:val="000000"/>
          <w:lang w:val="fr-CH"/>
        </w:rPr>
      </w:pPr>
      <w:r>
        <w:rPr>
          <w:rFonts w:cstheme="minorHAnsi"/>
          <w:color w:val="000000"/>
          <w:lang w:val="fr-CH"/>
        </w:rPr>
        <w:t xml:space="preserve">Depuis la date du premier investissement, la performance est de </w:t>
      </w:r>
      <w:r w:rsidR="0040613E">
        <w:rPr>
          <w:rFonts w:cstheme="minorHAnsi"/>
          <w:color w:val="000000"/>
          <w:lang w:val="fr-CH"/>
        </w:rPr>
        <w:t>+</w:t>
      </w:r>
      <w:r w:rsidR="00756556">
        <w:rPr>
          <w:rFonts w:cstheme="minorHAnsi"/>
          <w:color w:val="000000"/>
          <w:lang w:val="fr-CH"/>
        </w:rPr>
        <w:t>14</w:t>
      </w:r>
      <w:r>
        <w:rPr>
          <w:rFonts w:cstheme="minorHAnsi"/>
          <w:color w:val="000000"/>
          <w:lang w:val="fr-CH"/>
        </w:rPr>
        <w:t>,</w:t>
      </w:r>
      <w:r w:rsidR="00756556">
        <w:rPr>
          <w:rFonts w:cstheme="minorHAnsi"/>
          <w:color w:val="000000"/>
          <w:lang w:val="fr-CH"/>
        </w:rPr>
        <w:t>64</w:t>
      </w:r>
      <w:r>
        <w:rPr>
          <w:rFonts w:cstheme="minorHAnsi"/>
          <w:color w:val="000000"/>
          <w:lang w:val="fr-CH"/>
        </w:rPr>
        <w:t>% en « time-</w:t>
      </w:r>
      <w:proofErr w:type="spellStart"/>
      <w:r>
        <w:rPr>
          <w:rFonts w:cstheme="minorHAnsi"/>
          <w:color w:val="000000"/>
          <w:lang w:val="fr-CH"/>
        </w:rPr>
        <w:t>weighted</w:t>
      </w:r>
      <w:proofErr w:type="spellEnd"/>
      <w:r>
        <w:rPr>
          <w:rFonts w:cstheme="minorHAnsi"/>
          <w:color w:val="000000"/>
          <w:lang w:val="fr-CH"/>
        </w:rPr>
        <w:t xml:space="preserve"> » et de </w:t>
      </w:r>
      <w:r w:rsidR="0040613E">
        <w:rPr>
          <w:rFonts w:cstheme="minorHAnsi"/>
          <w:color w:val="000000"/>
          <w:lang w:val="fr-CH"/>
        </w:rPr>
        <w:t>+</w:t>
      </w:r>
      <w:r w:rsidR="00756556">
        <w:rPr>
          <w:rFonts w:cstheme="minorHAnsi"/>
          <w:color w:val="000000"/>
          <w:lang w:val="fr-CH"/>
        </w:rPr>
        <w:t>15</w:t>
      </w:r>
      <w:r>
        <w:rPr>
          <w:rFonts w:cstheme="minorHAnsi"/>
          <w:color w:val="000000"/>
          <w:lang w:val="fr-CH"/>
        </w:rPr>
        <w:t>,</w:t>
      </w:r>
      <w:r w:rsidR="00756556">
        <w:rPr>
          <w:rFonts w:cstheme="minorHAnsi"/>
          <w:color w:val="000000"/>
          <w:lang w:val="fr-CH"/>
        </w:rPr>
        <w:t>75</w:t>
      </w:r>
      <w:r>
        <w:rPr>
          <w:rFonts w:cstheme="minorHAnsi"/>
          <w:color w:val="000000"/>
          <w:lang w:val="fr-CH"/>
        </w:rPr>
        <w:t>% en « money-</w:t>
      </w:r>
      <w:proofErr w:type="spellStart"/>
      <w:r>
        <w:rPr>
          <w:rFonts w:cstheme="minorHAnsi"/>
          <w:color w:val="000000"/>
          <w:lang w:val="fr-CH"/>
        </w:rPr>
        <w:t>weighted</w:t>
      </w:r>
      <w:proofErr w:type="spellEnd"/>
      <w:r>
        <w:rPr>
          <w:rFonts w:cstheme="minorHAnsi"/>
          <w:color w:val="000000"/>
          <w:lang w:val="fr-CH"/>
        </w:rPr>
        <w:t> ». Cette performance est en ligne avec celle de l’indice de référence pondéré par le poids des classes d’actifs.</w:t>
      </w:r>
    </w:p>
    <w:p w14:paraId="2EBB5F20" w14:textId="0B47BC83" w:rsidR="00D0564B" w:rsidRPr="00205847" w:rsidRDefault="00D0564B" w:rsidP="007872A5">
      <w:pPr>
        <w:rPr>
          <w:rFonts w:cstheme="minorHAnsi"/>
          <w:b/>
          <w:lang w:val="fr-FR"/>
        </w:rPr>
      </w:pPr>
      <w:r w:rsidRPr="00205847">
        <w:rPr>
          <w:rFonts w:cstheme="minorHAnsi"/>
          <w:b/>
          <w:lang w:val="fr-FR"/>
        </w:rPr>
        <w:t>Positions et indices de référence</w:t>
      </w:r>
    </w:p>
    <w:p w14:paraId="653D2218" w14:textId="3DEE7E55" w:rsidR="00D0564B" w:rsidRDefault="002D0A99" w:rsidP="00D0564B">
      <w:pPr>
        <w:jc w:val="both"/>
        <w:rPr>
          <w:rFonts w:cstheme="minorHAnsi"/>
          <w:lang w:val="fr-FR"/>
        </w:rPr>
      </w:pPr>
      <w:r w:rsidRPr="002D0A99">
        <w:rPr>
          <w:noProof/>
          <w:lang w:val="en-US" w:eastAsia="en-US"/>
        </w:rPr>
        <w:drawing>
          <wp:anchor distT="0" distB="0" distL="114300" distR="114300" simplePos="0" relativeHeight="251660288" behindDoc="0" locked="0" layoutInCell="1" allowOverlap="1" wp14:anchorId="369B72E0" wp14:editId="5684E9EA">
            <wp:simplePos x="0" y="0"/>
            <wp:positionH relativeFrom="page">
              <wp:posOffset>853440</wp:posOffset>
            </wp:positionH>
            <wp:positionV relativeFrom="paragraph">
              <wp:posOffset>358140</wp:posOffset>
            </wp:positionV>
            <wp:extent cx="6081395" cy="19005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81395" cy="1900555"/>
                    </a:xfrm>
                    <a:prstGeom prst="rect">
                      <a:avLst/>
                    </a:prstGeom>
                  </pic:spPr>
                </pic:pic>
              </a:graphicData>
            </a:graphic>
            <wp14:sizeRelH relativeFrom="margin">
              <wp14:pctWidth>0</wp14:pctWidth>
            </wp14:sizeRelH>
            <wp14:sizeRelV relativeFrom="margin">
              <wp14:pctHeight>0</wp14:pctHeight>
            </wp14:sizeRelV>
          </wp:anchor>
        </w:drawing>
      </w:r>
      <w:r w:rsidR="00D0564B" w:rsidRPr="00143341">
        <w:rPr>
          <w:rFonts w:cstheme="minorHAnsi"/>
          <w:lang w:val="fr-FR"/>
        </w:rPr>
        <w:t>Le tableau ci-après donne un aperçu des positions du Fonds</w:t>
      </w:r>
      <w:r w:rsidR="00D0564B">
        <w:rPr>
          <w:rFonts w:cstheme="minorHAnsi"/>
          <w:lang w:val="fr-FR"/>
        </w:rPr>
        <w:t xml:space="preserve"> et contient </w:t>
      </w:r>
      <w:r w:rsidR="00D0564B" w:rsidRPr="00143341">
        <w:rPr>
          <w:rFonts w:cstheme="minorHAnsi"/>
          <w:lang w:val="fr-FR"/>
        </w:rPr>
        <w:t xml:space="preserve">également des indications sur </w:t>
      </w:r>
      <w:r w:rsidR="00D0564B">
        <w:rPr>
          <w:rFonts w:cstheme="minorHAnsi"/>
          <w:lang w:val="fr-FR"/>
        </w:rPr>
        <w:t>la performance d</w:t>
      </w:r>
      <w:r w:rsidR="00D0564B" w:rsidRPr="00143341">
        <w:rPr>
          <w:rFonts w:cstheme="minorHAnsi"/>
          <w:lang w:val="fr-FR"/>
        </w:rPr>
        <w:t xml:space="preserve">es indices de référence. </w:t>
      </w:r>
    </w:p>
    <w:p w14:paraId="7551D9E4" w14:textId="36C7E92D" w:rsidR="00D0564B" w:rsidRPr="00143341" w:rsidRDefault="00D0564B" w:rsidP="00D0564B">
      <w:pPr>
        <w:ind w:left="-1134"/>
        <w:jc w:val="both"/>
        <w:rPr>
          <w:sz w:val="16"/>
          <w:szCs w:val="16"/>
          <w:lang w:val="fr-LU"/>
        </w:rPr>
      </w:pPr>
      <w:r w:rsidRPr="0050340D">
        <w:rPr>
          <w:noProof/>
          <w:lang w:val="fr-LU"/>
        </w:rPr>
        <w:t xml:space="preserve"> </w:t>
      </w:r>
      <w:r w:rsidRPr="008E7C55">
        <w:rPr>
          <w:noProof/>
          <w:lang w:val="fr-LU"/>
        </w:rPr>
        <w:t xml:space="preserve"> </w:t>
      </w:r>
      <w:r w:rsidRPr="005355E9">
        <w:rPr>
          <w:noProof/>
          <w:lang w:val="fr-LU"/>
        </w:rPr>
        <w:t xml:space="preserve"> </w:t>
      </w:r>
      <w:r w:rsidRPr="00143341">
        <w:rPr>
          <w:sz w:val="16"/>
          <w:szCs w:val="16"/>
          <w:lang w:val="fr-CH"/>
        </w:rPr>
        <w:t xml:space="preserve">  </w:t>
      </w:r>
      <w:r w:rsidR="0040613E">
        <w:rPr>
          <w:sz w:val="16"/>
          <w:szCs w:val="16"/>
          <w:lang w:val="fr-CH"/>
        </w:rPr>
        <w:tab/>
      </w:r>
      <w:r w:rsidR="0040613E">
        <w:rPr>
          <w:sz w:val="16"/>
          <w:szCs w:val="16"/>
          <w:lang w:val="fr-CH"/>
        </w:rPr>
        <w:tab/>
      </w:r>
      <w:r w:rsidR="0040613E">
        <w:rPr>
          <w:sz w:val="16"/>
          <w:szCs w:val="16"/>
          <w:lang w:val="fr-CH"/>
        </w:rPr>
        <w:tab/>
      </w:r>
      <w:r w:rsidRPr="00143341">
        <w:rPr>
          <w:sz w:val="16"/>
          <w:szCs w:val="16"/>
          <w:lang w:val="fr-CH"/>
        </w:rPr>
        <w:t xml:space="preserve"> </w:t>
      </w:r>
      <w:r w:rsidR="0040613E">
        <w:rPr>
          <w:sz w:val="16"/>
          <w:szCs w:val="16"/>
          <w:lang w:val="fr-CH"/>
        </w:rPr>
        <w:tab/>
      </w:r>
      <w:r w:rsidRPr="00143341">
        <w:rPr>
          <w:sz w:val="16"/>
          <w:szCs w:val="16"/>
          <w:lang w:val="fr-CH"/>
        </w:rPr>
        <w:t>Sources</w:t>
      </w:r>
      <w:r>
        <w:rPr>
          <w:sz w:val="16"/>
          <w:szCs w:val="16"/>
          <w:lang w:val="fr-CH"/>
        </w:rPr>
        <w:t xml:space="preserve"> R</w:t>
      </w:r>
      <w:r w:rsidRPr="00143341">
        <w:rPr>
          <w:sz w:val="16"/>
          <w:szCs w:val="16"/>
          <w:lang w:val="fr-CH"/>
        </w:rPr>
        <w:t xml:space="preserve">apport </w:t>
      </w:r>
      <w:proofErr w:type="spellStart"/>
      <w:r w:rsidRPr="00143341">
        <w:rPr>
          <w:sz w:val="16"/>
          <w:szCs w:val="16"/>
          <w:lang w:val="fr-CH"/>
        </w:rPr>
        <w:t>TripleA</w:t>
      </w:r>
      <w:proofErr w:type="spellEnd"/>
      <w:r w:rsidRPr="00143341">
        <w:rPr>
          <w:sz w:val="16"/>
          <w:szCs w:val="16"/>
          <w:lang w:val="fr-CH"/>
        </w:rPr>
        <w:t xml:space="preserve">, </w:t>
      </w:r>
      <w:proofErr w:type="spellStart"/>
      <w:r w:rsidRPr="00143341">
        <w:rPr>
          <w:sz w:val="16"/>
          <w:szCs w:val="16"/>
          <w:lang w:val="fr-CH"/>
        </w:rPr>
        <w:t>Morningstar</w:t>
      </w:r>
      <w:proofErr w:type="spellEnd"/>
      <w:r w:rsidRPr="00143341">
        <w:rPr>
          <w:sz w:val="16"/>
          <w:szCs w:val="16"/>
          <w:lang w:val="fr-CH"/>
        </w:rPr>
        <w:t xml:space="preserve"> et Bloomberg</w:t>
      </w:r>
    </w:p>
    <w:p w14:paraId="60210499" w14:textId="5034EBBD" w:rsidR="00D0564B" w:rsidRDefault="00D0564B" w:rsidP="00D0564B">
      <w:pPr>
        <w:jc w:val="both"/>
        <w:rPr>
          <w:rFonts w:cstheme="minorHAnsi"/>
          <w:color w:val="000000"/>
          <w:lang w:val="fr-CH"/>
        </w:rPr>
      </w:pPr>
      <w:r w:rsidRPr="00143341">
        <w:rPr>
          <w:rFonts w:cstheme="minorHAnsi"/>
          <w:color w:val="000000"/>
          <w:lang w:val="fr-CH"/>
        </w:rPr>
        <w:lastRenderedPageBreak/>
        <w:t xml:space="preserve">Le Fonds souverain a une politique de couverture </w:t>
      </w:r>
      <w:r>
        <w:rPr>
          <w:rFonts w:cstheme="minorHAnsi"/>
          <w:color w:val="000000"/>
          <w:lang w:val="fr-CH"/>
        </w:rPr>
        <w:t xml:space="preserve">systématique </w:t>
      </w:r>
      <w:r w:rsidRPr="00143341">
        <w:rPr>
          <w:rFonts w:cstheme="minorHAnsi"/>
          <w:color w:val="000000"/>
          <w:lang w:val="fr-CH"/>
        </w:rPr>
        <w:t xml:space="preserve">du risque de change EUR/USD pour au moins 90% </w:t>
      </w:r>
      <w:r w:rsidRPr="00143341">
        <w:rPr>
          <w:lang w:val="fr-FR"/>
        </w:rPr>
        <w:t>du montant</w:t>
      </w:r>
      <w:r w:rsidRPr="00ED7094">
        <w:rPr>
          <w:lang w:val="fr-FR"/>
        </w:rPr>
        <w:t xml:space="preserve"> nominal de la position libellée en USD</w:t>
      </w:r>
      <w:r>
        <w:rPr>
          <w:lang w:val="fr-FR"/>
        </w:rPr>
        <w:t xml:space="preserve">. </w:t>
      </w:r>
      <w:r w:rsidR="00756556">
        <w:rPr>
          <w:lang w:val="fr-FR"/>
        </w:rPr>
        <w:t>Au 30 juin, l</w:t>
      </w:r>
      <w:r>
        <w:rPr>
          <w:lang w:val="fr-FR"/>
        </w:rPr>
        <w:t xml:space="preserve">’euro est </w:t>
      </w:r>
      <w:r w:rsidR="00756556">
        <w:rPr>
          <w:lang w:val="fr-FR"/>
        </w:rPr>
        <w:t>quasiment stable par rapport au niveau du</w:t>
      </w:r>
      <w:r>
        <w:rPr>
          <w:lang w:val="fr-FR"/>
        </w:rPr>
        <w:t xml:space="preserve"> 31 décembre 2019</w:t>
      </w:r>
      <w:r w:rsidR="00756556">
        <w:rPr>
          <w:lang w:val="fr-FR"/>
        </w:rPr>
        <w:t xml:space="preserve">, à savoir 1,1234 versus 1,1213. </w:t>
      </w:r>
    </w:p>
    <w:p w14:paraId="6DBA5CB0" w14:textId="112E13A1" w:rsidR="00D0564B" w:rsidRPr="00066729" w:rsidRDefault="00D0564B" w:rsidP="00D0564B">
      <w:pPr>
        <w:jc w:val="both"/>
        <w:rPr>
          <w:rFonts w:cstheme="minorHAnsi"/>
          <w:b/>
          <w:lang w:val="fr-CH"/>
        </w:rPr>
      </w:pPr>
      <w:r w:rsidRPr="00066729">
        <w:rPr>
          <w:rFonts w:cstheme="minorHAnsi"/>
          <w:b/>
          <w:lang w:val="fr-CH"/>
        </w:rPr>
        <w:t>Obligations</w:t>
      </w:r>
    </w:p>
    <w:p w14:paraId="2182B67D" w14:textId="2A47DFA0" w:rsidR="00D0564B" w:rsidRPr="00FC32FB" w:rsidRDefault="00D0564B" w:rsidP="00D0564B">
      <w:pPr>
        <w:jc w:val="both"/>
        <w:rPr>
          <w:rFonts w:cstheme="minorHAnsi"/>
          <w:color w:val="000000"/>
          <w:lang w:val="fr-CH"/>
        </w:rPr>
      </w:pPr>
      <w:r>
        <w:rPr>
          <w:lang w:val="fr-CH"/>
        </w:rPr>
        <w:t>À</w:t>
      </w:r>
      <w:r>
        <w:rPr>
          <w:lang w:val="fr-FR"/>
        </w:rPr>
        <w:t xml:space="preserve"> la fin du 1</w:t>
      </w:r>
      <w:r w:rsidRPr="00277A6D">
        <w:rPr>
          <w:vertAlign w:val="superscript"/>
          <w:lang w:val="fr-FR"/>
        </w:rPr>
        <w:t>er</w:t>
      </w:r>
      <w:r>
        <w:rPr>
          <w:lang w:val="fr-FR"/>
        </w:rPr>
        <w:t xml:space="preserve"> </w:t>
      </w:r>
      <w:r w:rsidR="00594699">
        <w:rPr>
          <w:lang w:val="fr-FR"/>
        </w:rPr>
        <w:t>se</w:t>
      </w:r>
      <w:r>
        <w:rPr>
          <w:lang w:val="fr-FR"/>
        </w:rPr>
        <w:t>mestre 2020, les « benchmarks » obligataires avaient les caractéristiques suivantes</w:t>
      </w:r>
      <w:r w:rsidR="00BA3882">
        <w:rPr>
          <w:lang w:val="fr-FR"/>
        </w:rPr>
        <w:t> :</w:t>
      </w:r>
      <w:r w:rsidR="005C14E5">
        <w:rPr>
          <w:lang w:val="fr-FR"/>
        </w:rPr>
        <w:t xml:space="preserve"> </w:t>
      </w:r>
      <w:r w:rsidR="00BA3882">
        <w:rPr>
          <w:lang w:val="fr-FR"/>
        </w:rPr>
        <w:t>l</w:t>
      </w:r>
      <w:r w:rsidR="00BA3882" w:rsidRPr="00A159B3">
        <w:rPr>
          <w:lang w:val="fr-FR"/>
        </w:rPr>
        <w:t xml:space="preserve">’indice </w:t>
      </w:r>
      <w:r w:rsidRPr="00A159B3">
        <w:rPr>
          <w:lang w:val="fr-FR"/>
        </w:rPr>
        <w:t xml:space="preserve">Barclays Euro </w:t>
      </w:r>
      <w:proofErr w:type="spellStart"/>
      <w:r w:rsidRPr="00A159B3">
        <w:rPr>
          <w:lang w:val="fr-FR"/>
        </w:rPr>
        <w:t>Aggregate</w:t>
      </w:r>
      <w:proofErr w:type="spellEnd"/>
      <w:r w:rsidRPr="00A159B3">
        <w:rPr>
          <w:lang w:val="fr-FR"/>
        </w:rPr>
        <w:t xml:space="preserve"> Total Return Index Value </w:t>
      </w:r>
      <w:proofErr w:type="spellStart"/>
      <w:r w:rsidRPr="00A159B3">
        <w:rPr>
          <w:lang w:val="fr-FR"/>
        </w:rPr>
        <w:t>Unhedged</w:t>
      </w:r>
      <w:proofErr w:type="spellEnd"/>
      <w:r w:rsidRPr="00A159B3">
        <w:rPr>
          <w:lang w:val="fr-FR"/>
        </w:rPr>
        <w:t xml:space="preserve"> EUR</w:t>
      </w:r>
      <w:r>
        <w:rPr>
          <w:lang w:val="fr-FR"/>
        </w:rPr>
        <w:t xml:space="preserve"> affiche, pour une duration de 7,</w:t>
      </w:r>
      <w:r w:rsidR="00594699">
        <w:rPr>
          <w:lang w:val="fr-FR"/>
        </w:rPr>
        <w:t>4</w:t>
      </w:r>
      <w:r>
        <w:rPr>
          <w:lang w:val="fr-FR"/>
        </w:rPr>
        <w:t>5, un rendement jusqu’à échéance de 0,1</w:t>
      </w:r>
      <w:r w:rsidR="00594699">
        <w:rPr>
          <w:lang w:val="fr-FR"/>
        </w:rPr>
        <w:t>8</w:t>
      </w:r>
      <w:r>
        <w:rPr>
          <w:lang w:val="fr-FR"/>
        </w:rPr>
        <w:t>%. L</w:t>
      </w:r>
      <w:r w:rsidRPr="00ED7094">
        <w:rPr>
          <w:lang w:val="fr-FR"/>
        </w:rPr>
        <w:t xml:space="preserve">’indice Barclays US </w:t>
      </w:r>
      <w:proofErr w:type="spellStart"/>
      <w:r w:rsidRPr="00ED7094">
        <w:rPr>
          <w:lang w:val="fr-FR"/>
        </w:rPr>
        <w:t>Aggregate</w:t>
      </w:r>
      <w:proofErr w:type="spellEnd"/>
      <w:r w:rsidRPr="00ED7094">
        <w:rPr>
          <w:lang w:val="fr-FR"/>
        </w:rPr>
        <w:t xml:space="preserve"> Total Return Index Value </w:t>
      </w:r>
      <w:proofErr w:type="spellStart"/>
      <w:r w:rsidRPr="00ED7094">
        <w:rPr>
          <w:lang w:val="fr-FR"/>
        </w:rPr>
        <w:t>Unhedged</w:t>
      </w:r>
      <w:proofErr w:type="spellEnd"/>
      <w:r w:rsidRPr="00ED7094">
        <w:rPr>
          <w:lang w:val="fr-FR"/>
        </w:rPr>
        <w:t xml:space="preserve"> USD</w:t>
      </w:r>
      <w:r w:rsidRPr="00ED5A9B">
        <w:rPr>
          <w:lang w:val="fr-FR"/>
        </w:rPr>
        <w:t xml:space="preserve"> </w:t>
      </w:r>
      <w:r>
        <w:rPr>
          <w:lang w:val="fr-FR"/>
        </w:rPr>
        <w:t xml:space="preserve">affiche, pour une duration de </w:t>
      </w:r>
      <w:r w:rsidR="00594699">
        <w:rPr>
          <w:lang w:val="fr-FR"/>
        </w:rPr>
        <w:t>6</w:t>
      </w:r>
      <w:r>
        <w:rPr>
          <w:lang w:val="fr-FR"/>
        </w:rPr>
        <w:t>,</w:t>
      </w:r>
      <w:r w:rsidR="00594699">
        <w:rPr>
          <w:lang w:val="fr-FR"/>
        </w:rPr>
        <w:t>04</w:t>
      </w:r>
      <w:r>
        <w:rPr>
          <w:lang w:val="fr-FR"/>
        </w:rPr>
        <w:t>, un rendement jusqu’à échéance de 1,</w:t>
      </w:r>
      <w:r w:rsidR="00594699">
        <w:rPr>
          <w:lang w:val="fr-FR"/>
        </w:rPr>
        <w:t>2</w:t>
      </w:r>
      <w:r>
        <w:rPr>
          <w:lang w:val="fr-FR"/>
        </w:rPr>
        <w:t xml:space="preserve">5%. </w:t>
      </w:r>
    </w:p>
    <w:p w14:paraId="2E9F9847" w14:textId="77777777" w:rsidR="00D0564B" w:rsidRPr="00066729" w:rsidRDefault="00D0564B" w:rsidP="00D0564B">
      <w:pPr>
        <w:jc w:val="both"/>
        <w:rPr>
          <w:rFonts w:cstheme="minorHAnsi"/>
          <w:b/>
          <w:lang w:val="fr-CH"/>
        </w:rPr>
      </w:pPr>
      <w:r w:rsidRPr="00066729">
        <w:rPr>
          <w:rFonts w:cstheme="minorHAnsi"/>
          <w:b/>
          <w:lang w:val="fr-CH"/>
        </w:rPr>
        <w:t>Actions</w:t>
      </w:r>
    </w:p>
    <w:p w14:paraId="41C55D70" w14:textId="2D41700A" w:rsidR="00D0564B" w:rsidRPr="00D0564B" w:rsidRDefault="00D0564B" w:rsidP="00D0564B">
      <w:pPr>
        <w:jc w:val="both"/>
        <w:rPr>
          <w:rFonts w:cstheme="minorHAnsi"/>
          <w:color w:val="000000"/>
          <w:lang w:val="fr-CH"/>
        </w:rPr>
      </w:pPr>
      <w:r>
        <w:rPr>
          <w:rFonts w:cstheme="minorHAnsi"/>
          <w:color w:val="000000"/>
          <w:lang w:val="fr-CH"/>
        </w:rPr>
        <w:t>À la fin du 1</w:t>
      </w:r>
      <w:r w:rsidRPr="00277A6D">
        <w:rPr>
          <w:rFonts w:cstheme="minorHAnsi"/>
          <w:color w:val="000000"/>
          <w:vertAlign w:val="superscript"/>
          <w:lang w:val="fr-CH"/>
        </w:rPr>
        <w:t>er</w:t>
      </w:r>
      <w:r>
        <w:rPr>
          <w:rFonts w:cstheme="minorHAnsi"/>
          <w:color w:val="000000"/>
          <w:lang w:val="fr-CH"/>
        </w:rPr>
        <w:t xml:space="preserve"> </w:t>
      </w:r>
      <w:r w:rsidR="00594699">
        <w:rPr>
          <w:rFonts w:cstheme="minorHAnsi"/>
          <w:color w:val="000000"/>
          <w:lang w:val="fr-CH"/>
        </w:rPr>
        <w:t>se</w:t>
      </w:r>
      <w:r>
        <w:rPr>
          <w:rFonts w:cstheme="minorHAnsi"/>
          <w:color w:val="000000"/>
          <w:lang w:val="fr-CH"/>
        </w:rPr>
        <w:t>mestre 2020</w:t>
      </w:r>
      <w:r w:rsidRPr="00C845A6">
        <w:rPr>
          <w:rFonts w:cstheme="minorHAnsi"/>
          <w:color w:val="000000"/>
          <w:lang w:val="fr-CH"/>
        </w:rPr>
        <w:t>, le MSCI World, avec un taux de dividende de 2,</w:t>
      </w:r>
      <w:r>
        <w:rPr>
          <w:rFonts w:cstheme="minorHAnsi"/>
          <w:color w:val="000000"/>
          <w:lang w:val="fr-CH"/>
        </w:rPr>
        <w:t>2</w:t>
      </w:r>
      <w:r w:rsidR="00594699">
        <w:rPr>
          <w:rFonts w:cstheme="minorHAnsi"/>
          <w:color w:val="000000"/>
          <w:lang w:val="fr-CH"/>
        </w:rPr>
        <w:t>3</w:t>
      </w:r>
      <w:r w:rsidRPr="00C845A6">
        <w:rPr>
          <w:rFonts w:cstheme="minorHAnsi"/>
          <w:color w:val="000000"/>
          <w:lang w:val="fr-CH"/>
        </w:rPr>
        <w:t>%, se pay</w:t>
      </w:r>
      <w:r>
        <w:rPr>
          <w:rFonts w:cstheme="minorHAnsi"/>
          <w:color w:val="000000"/>
          <w:lang w:val="fr-CH"/>
        </w:rPr>
        <w:t>e</w:t>
      </w:r>
      <w:r w:rsidRPr="00C845A6">
        <w:rPr>
          <w:rFonts w:cstheme="minorHAnsi"/>
          <w:color w:val="000000"/>
          <w:lang w:val="fr-CH"/>
        </w:rPr>
        <w:t xml:space="preserve"> 2,</w:t>
      </w:r>
      <w:r w:rsidR="00594699">
        <w:rPr>
          <w:rFonts w:cstheme="minorHAnsi"/>
          <w:color w:val="000000"/>
          <w:lang w:val="fr-CH"/>
        </w:rPr>
        <w:t>47</w:t>
      </w:r>
      <w:r>
        <w:rPr>
          <w:rFonts w:cstheme="minorHAnsi"/>
          <w:color w:val="000000"/>
          <w:lang w:val="fr-CH"/>
        </w:rPr>
        <w:t xml:space="preserve"> </w:t>
      </w:r>
      <w:r w:rsidRPr="00C845A6">
        <w:rPr>
          <w:rFonts w:cstheme="minorHAnsi"/>
          <w:color w:val="000000"/>
          <w:lang w:val="fr-CH"/>
        </w:rPr>
        <w:t xml:space="preserve">fois la valeur comptable des fonds propres et </w:t>
      </w:r>
      <w:r w:rsidR="00594699">
        <w:rPr>
          <w:rFonts w:cstheme="minorHAnsi"/>
          <w:color w:val="000000"/>
          <w:lang w:val="fr-CH"/>
        </w:rPr>
        <w:t>26</w:t>
      </w:r>
      <w:r>
        <w:rPr>
          <w:rFonts w:cstheme="minorHAnsi"/>
          <w:color w:val="000000"/>
          <w:lang w:val="fr-CH"/>
        </w:rPr>
        <w:t>,</w:t>
      </w:r>
      <w:r w:rsidR="00594699">
        <w:rPr>
          <w:rFonts w:cstheme="minorHAnsi"/>
          <w:color w:val="000000"/>
          <w:lang w:val="fr-CH"/>
        </w:rPr>
        <w:t>64</w:t>
      </w:r>
      <w:r w:rsidRPr="00C845A6">
        <w:rPr>
          <w:rFonts w:cstheme="minorHAnsi"/>
          <w:color w:val="000000"/>
          <w:lang w:val="fr-CH"/>
        </w:rPr>
        <w:t xml:space="preserve"> fois le bénéfice net </w:t>
      </w:r>
      <w:r>
        <w:rPr>
          <w:rFonts w:cstheme="minorHAnsi"/>
          <w:color w:val="000000"/>
          <w:lang w:val="fr-CH"/>
        </w:rPr>
        <w:t xml:space="preserve">historique </w:t>
      </w:r>
      <w:r w:rsidRPr="00C845A6">
        <w:rPr>
          <w:rFonts w:cstheme="minorHAnsi"/>
          <w:color w:val="000000"/>
          <w:lang w:val="fr-CH"/>
        </w:rPr>
        <w:t xml:space="preserve">et le MSCI Europe, avec un taux de dividende de </w:t>
      </w:r>
      <w:r w:rsidR="00594699">
        <w:rPr>
          <w:rFonts w:cstheme="minorHAnsi"/>
          <w:color w:val="000000"/>
          <w:lang w:val="fr-CH"/>
        </w:rPr>
        <w:t>3</w:t>
      </w:r>
      <w:r w:rsidRPr="00C845A6">
        <w:rPr>
          <w:rFonts w:cstheme="minorHAnsi"/>
          <w:color w:val="000000"/>
          <w:lang w:val="fr-CH"/>
        </w:rPr>
        <w:t>,</w:t>
      </w:r>
      <w:r w:rsidR="00594699">
        <w:rPr>
          <w:rFonts w:cstheme="minorHAnsi"/>
          <w:color w:val="000000"/>
          <w:lang w:val="fr-CH"/>
        </w:rPr>
        <w:t>10</w:t>
      </w:r>
      <w:r w:rsidRPr="00C845A6">
        <w:rPr>
          <w:rFonts w:cstheme="minorHAnsi"/>
          <w:color w:val="000000"/>
          <w:lang w:val="fr-CH"/>
        </w:rPr>
        <w:t>%, se pay</w:t>
      </w:r>
      <w:r>
        <w:rPr>
          <w:rFonts w:cstheme="minorHAnsi"/>
          <w:color w:val="000000"/>
          <w:lang w:val="fr-CH"/>
        </w:rPr>
        <w:t>e</w:t>
      </w:r>
      <w:r w:rsidRPr="00C845A6">
        <w:rPr>
          <w:rFonts w:cstheme="minorHAnsi"/>
          <w:color w:val="000000"/>
          <w:lang w:val="fr-CH"/>
        </w:rPr>
        <w:t xml:space="preserve"> 1,</w:t>
      </w:r>
      <w:r w:rsidR="00594699">
        <w:rPr>
          <w:rFonts w:cstheme="minorHAnsi"/>
          <w:color w:val="000000"/>
          <w:lang w:val="fr-CH"/>
        </w:rPr>
        <w:t>71</w:t>
      </w:r>
      <w:r w:rsidRPr="00C845A6">
        <w:rPr>
          <w:rFonts w:cstheme="minorHAnsi"/>
          <w:color w:val="000000"/>
          <w:lang w:val="fr-CH"/>
        </w:rPr>
        <w:t xml:space="preserve"> fois la valeur comptable des fonds propres et </w:t>
      </w:r>
      <w:r w:rsidR="00594699">
        <w:rPr>
          <w:rFonts w:cstheme="minorHAnsi"/>
          <w:color w:val="000000"/>
          <w:lang w:val="fr-CH"/>
        </w:rPr>
        <w:t>37,48</w:t>
      </w:r>
      <w:r w:rsidRPr="00C845A6">
        <w:rPr>
          <w:rFonts w:cstheme="minorHAnsi"/>
          <w:color w:val="000000"/>
          <w:lang w:val="fr-CH"/>
        </w:rPr>
        <w:t xml:space="preserve"> fois le bénéfice net </w:t>
      </w:r>
      <w:r>
        <w:rPr>
          <w:rFonts w:cstheme="minorHAnsi"/>
          <w:color w:val="000000"/>
          <w:lang w:val="fr-CH"/>
        </w:rPr>
        <w:t>historique</w:t>
      </w:r>
      <w:r w:rsidRPr="00C845A6">
        <w:rPr>
          <w:rFonts w:cstheme="minorHAnsi"/>
          <w:color w:val="000000"/>
          <w:lang w:val="fr-CH"/>
        </w:rPr>
        <w:t>.</w:t>
      </w:r>
    </w:p>
    <w:sectPr w:rsidR="00D0564B" w:rsidRPr="00D0564B" w:rsidSect="00FC0888">
      <w:headerReference w:type="even" r:id="rId14"/>
      <w:headerReference w:type="default" r:id="rId15"/>
      <w:footerReference w:type="even" r:id="rId16"/>
      <w:footerReference w:type="default" r:id="rId17"/>
      <w:headerReference w:type="first" r:id="rId18"/>
      <w:footerReference w:type="first" r:id="rId19"/>
      <w:pgSz w:w="11906" w:h="16838"/>
      <w:pgMar w:top="1417" w:right="1841"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7011" w16cex:dateUtc="2020-09-09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C5AF32" w16cid:durableId="230363E3"/>
  <w16cid:commentId w16cid:paraId="55C620BC" w16cid:durableId="230363E4"/>
  <w16cid:commentId w16cid:paraId="27767650" w16cid:durableId="230370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34559" w14:textId="77777777" w:rsidR="000542D7" w:rsidRDefault="000542D7" w:rsidP="002062BB">
      <w:pPr>
        <w:spacing w:before="0" w:after="0" w:line="240" w:lineRule="auto"/>
      </w:pPr>
      <w:r>
        <w:separator/>
      </w:r>
    </w:p>
  </w:endnote>
  <w:endnote w:type="continuationSeparator" w:id="0">
    <w:p w14:paraId="74621217" w14:textId="77777777" w:rsidR="000542D7" w:rsidRDefault="000542D7" w:rsidP="002062BB">
      <w:pPr>
        <w:spacing w:before="0" w:after="0" w:line="240" w:lineRule="auto"/>
      </w:pPr>
      <w:r>
        <w:continuationSeparator/>
      </w:r>
    </w:p>
  </w:endnote>
  <w:endnote w:type="continuationNotice" w:id="1">
    <w:p w14:paraId="16101938" w14:textId="77777777" w:rsidR="000542D7" w:rsidRDefault="000542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3D5A" w14:textId="77777777" w:rsidR="00FC0888" w:rsidRDefault="00FC0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3580"/>
      <w:docPartObj>
        <w:docPartGallery w:val="Page Numbers (Bottom of Page)"/>
        <w:docPartUnique/>
      </w:docPartObj>
    </w:sdtPr>
    <w:sdtEndPr/>
    <w:sdtContent>
      <w:p w14:paraId="2F000010" w14:textId="77777777" w:rsidR="002062BB" w:rsidRDefault="002062BB">
        <w:pPr>
          <w:pStyle w:val="Footer"/>
          <w:jc w:val="right"/>
        </w:pPr>
      </w:p>
      <w:p w14:paraId="2E0F3F81" w14:textId="2E02D647" w:rsidR="002062BB" w:rsidRDefault="00DC068D">
        <w:pPr>
          <w:pStyle w:val="Footer"/>
          <w:jc w:val="right"/>
        </w:pPr>
        <w:r>
          <w:fldChar w:fldCharType="begin"/>
        </w:r>
        <w:r>
          <w:instrText xml:space="preserve"> PAGE   \* MERGEFORMAT </w:instrText>
        </w:r>
        <w:r>
          <w:fldChar w:fldCharType="separate"/>
        </w:r>
        <w:r w:rsidR="00356339">
          <w:rPr>
            <w:noProof/>
          </w:rPr>
          <w:t>7</w:t>
        </w:r>
        <w:r>
          <w:rPr>
            <w:noProof/>
          </w:rPr>
          <w:fldChar w:fldCharType="end"/>
        </w:r>
      </w:p>
    </w:sdtContent>
  </w:sdt>
  <w:p w14:paraId="1A03FB9A" w14:textId="77777777" w:rsidR="002062BB" w:rsidRDefault="00206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00CC" w14:textId="77777777" w:rsidR="00FC0888" w:rsidRDefault="00FC0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7F652" w14:textId="77777777" w:rsidR="000542D7" w:rsidRDefault="000542D7" w:rsidP="002062BB">
      <w:pPr>
        <w:spacing w:before="0" w:after="0" w:line="240" w:lineRule="auto"/>
      </w:pPr>
      <w:r>
        <w:separator/>
      </w:r>
    </w:p>
  </w:footnote>
  <w:footnote w:type="continuationSeparator" w:id="0">
    <w:p w14:paraId="1DEA4038" w14:textId="77777777" w:rsidR="000542D7" w:rsidRDefault="000542D7" w:rsidP="002062BB">
      <w:pPr>
        <w:spacing w:before="0" w:after="0" w:line="240" w:lineRule="auto"/>
      </w:pPr>
      <w:r>
        <w:continuationSeparator/>
      </w:r>
    </w:p>
  </w:footnote>
  <w:footnote w:type="continuationNotice" w:id="1">
    <w:p w14:paraId="34F779B5" w14:textId="77777777" w:rsidR="000542D7" w:rsidRDefault="000542D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095C" w14:textId="77777777" w:rsidR="00FC0888" w:rsidRDefault="00FC0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0F52" w14:textId="77777777" w:rsidR="00FC0888" w:rsidRDefault="00FC0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5174" w14:textId="77777777" w:rsidR="00FC0888" w:rsidRDefault="00FC0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F3E"/>
    <w:multiLevelType w:val="hybridMultilevel"/>
    <w:tmpl w:val="83BAD906"/>
    <w:lvl w:ilvl="0" w:tplc="1C3EDBB6">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5057"/>
    <w:multiLevelType w:val="hybridMultilevel"/>
    <w:tmpl w:val="29D42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82C03"/>
    <w:multiLevelType w:val="hybridMultilevel"/>
    <w:tmpl w:val="405C55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352EE"/>
    <w:multiLevelType w:val="hybridMultilevel"/>
    <w:tmpl w:val="9670EBA8"/>
    <w:lvl w:ilvl="0" w:tplc="489E6A12">
      <w:start w:val="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27809"/>
    <w:multiLevelType w:val="multilevel"/>
    <w:tmpl w:val="651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7669E"/>
    <w:multiLevelType w:val="hybridMultilevel"/>
    <w:tmpl w:val="ED242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85D1C"/>
    <w:multiLevelType w:val="multilevel"/>
    <w:tmpl w:val="9D9C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C0290"/>
    <w:multiLevelType w:val="hybridMultilevel"/>
    <w:tmpl w:val="90CA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36E10"/>
    <w:multiLevelType w:val="hybridMultilevel"/>
    <w:tmpl w:val="4D90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C0570"/>
    <w:multiLevelType w:val="hybridMultilevel"/>
    <w:tmpl w:val="7BA4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A5BC2"/>
    <w:multiLevelType w:val="hybridMultilevel"/>
    <w:tmpl w:val="B58C4416"/>
    <w:lvl w:ilvl="0" w:tplc="489E6A12">
      <w:start w:val="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75F90"/>
    <w:multiLevelType w:val="hybridMultilevel"/>
    <w:tmpl w:val="E820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04724"/>
    <w:multiLevelType w:val="hybridMultilevel"/>
    <w:tmpl w:val="FE768322"/>
    <w:lvl w:ilvl="0" w:tplc="489E6A12">
      <w:start w:val="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96C15"/>
    <w:multiLevelType w:val="hybridMultilevel"/>
    <w:tmpl w:val="751C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500BD"/>
    <w:multiLevelType w:val="hybridMultilevel"/>
    <w:tmpl w:val="0464C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BA263A"/>
    <w:multiLevelType w:val="multilevel"/>
    <w:tmpl w:val="8372505A"/>
    <w:lvl w:ilvl="0">
      <w:numFmt w:val="bullet"/>
      <w:lvlText w:val="-"/>
      <w:lvlJc w:val="left"/>
      <w:rPr>
        <w:rFonts w:ascii="Trebuchet MS" w:eastAsia="Trebuchet MS" w:hAnsi="Trebuchet MS" w:cs="Trebuchet MS"/>
        <w:color w:val="000000"/>
        <w:position w:val="0"/>
        <w:u w:color="000000"/>
        <w:lang w:val="fr-FR"/>
      </w:rPr>
    </w:lvl>
    <w:lvl w:ilvl="1">
      <w:start w:val="1"/>
      <w:numFmt w:val="bullet"/>
      <w:lvlText w:val="o"/>
      <w:lvlJc w:val="left"/>
      <w:rPr>
        <w:rFonts w:ascii="Calibri" w:eastAsia="Calibri" w:hAnsi="Calibri" w:cs="Calibri"/>
        <w:color w:val="000000"/>
        <w:position w:val="0"/>
        <w:u w:color="000000"/>
        <w:lang w:val="fr-FR"/>
      </w:rPr>
    </w:lvl>
    <w:lvl w:ilvl="2">
      <w:start w:val="1"/>
      <w:numFmt w:val="bullet"/>
      <w:lvlText w:val="▪"/>
      <w:lvlJc w:val="left"/>
      <w:rPr>
        <w:rFonts w:ascii="Calibri" w:eastAsia="Calibri" w:hAnsi="Calibri" w:cs="Calibri"/>
        <w:color w:val="000000"/>
        <w:position w:val="0"/>
        <w:u w:color="000000"/>
        <w:lang w:val="fr-FR"/>
      </w:rPr>
    </w:lvl>
    <w:lvl w:ilvl="3">
      <w:start w:val="1"/>
      <w:numFmt w:val="bullet"/>
      <w:lvlText w:val="•"/>
      <w:lvlJc w:val="left"/>
      <w:rPr>
        <w:rFonts w:ascii="Calibri" w:eastAsia="Calibri" w:hAnsi="Calibri" w:cs="Calibri"/>
        <w:color w:val="000000"/>
        <w:position w:val="0"/>
        <w:u w:color="000000"/>
        <w:lang w:val="fr-FR"/>
      </w:rPr>
    </w:lvl>
    <w:lvl w:ilvl="4">
      <w:start w:val="1"/>
      <w:numFmt w:val="bullet"/>
      <w:lvlText w:val="o"/>
      <w:lvlJc w:val="left"/>
      <w:rPr>
        <w:rFonts w:ascii="Calibri" w:eastAsia="Calibri" w:hAnsi="Calibri" w:cs="Calibri"/>
        <w:color w:val="000000"/>
        <w:position w:val="0"/>
        <w:u w:color="000000"/>
        <w:lang w:val="fr-FR"/>
      </w:rPr>
    </w:lvl>
    <w:lvl w:ilvl="5">
      <w:start w:val="1"/>
      <w:numFmt w:val="bullet"/>
      <w:lvlText w:val="▪"/>
      <w:lvlJc w:val="left"/>
      <w:rPr>
        <w:rFonts w:ascii="Calibri" w:eastAsia="Calibri" w:hAnsi="Calibri" w:cs="Calibri"/>
        <w:color w:val="000000"/>
        <w:position w:val="0"/>
        <w:u w:color="000000"/>
        <w:lang w:val="fr-FR"/>
      </w:rPr>
    </w:lvl>
    <w:lvl w:ilvl="6">
      <w:start w:val="1"/>
      <w:numFmt w:val="bullet"/>
      <w:lvlText w:val="•"/>
      <w:lvlJc w:val="left"/>
      <w:rPr>
        <w:rFonts w:ascii="Calibri" w:eastAsia="Calibri" w:hAnsi="Calibri" w:cs="Calibri"/>
        <w:color w:val="000000"/>
        <w:position w:val="0"/>
        <w:u w:color="000000"/>
        <w:lang w:val="fr-FR"/>
      </w:rPr>
    </w:lvl>
    <w:lvl w:ilvl="7">
      <w:start w:val="1"/>
      <w:numFmt w:val="bullet"/>
      <w:lvlText w:val="o"/>
      <w:lvlJc w:val="left"/>
      <w:rPr>
        <w:rFonts w:ascii="Calibri" w:eastAsia="Calibri" w:hAnsi="Calibri" w:cs="Calibri"/>
        <w:color w:val="000000"/>
        <w:position w:val="0"/>
        <w:u w:color="000000"/>
        <w:lang w:val="fr-FR"/>
      </w:rPr>
    </w:lvl>
    <w:lvl w:ilvl="8">
      <w:start w:val="1"/>
      <w:numFmt w:val="bullet"/>
      <w:lvlText w:val="▪"/>
      <w:lvlJc w:val="left"/>
      <w:rPr>
        <w:rFonts w:ascii="Calibri" w:eastAsia="Calibri" w:hAnsi="Calibri" w:cs="Calibri"/>
        <w:color w:val="000000"/>
        <w:position w:val="0"/>
        <w:u w:color="000000"/>
        <w:lang w:val="fr-FR"/>
      </w:rPr>
    </w:lvl>
  </w:abstractNum>
  <w:abstractNum w:abstractNumId="16" w15:restartNumberingAfterBreak="0">
    <w:nsid w:val="3B3C1DFE"/>
    <w:multiLevelType w:val="hybridMultilevel"/>
    <w:tmpl w:val="E6562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039A4"/>
    <w:multiLevelType w:val="multilevel"/>
    <w:tmpl w:val="17125BE6"/>
    <w:lvl w:ilvl="0">
      <w:numFmt w:val="bullet"/>
      <w:lvlText w:val="-"/>
      <w:lvlJc w:val="left"/>
      <w:rPr>
        <w:rFonts w:ascii="Trebuchet MS" w:eastAsia="Trebuchet MS" w:hAnsi="Trebuchet MS" w:cs="Trebuchet MS"/>
        <w:color w:val="000000"/>
        <w:position w:val="0"/>
        <w:u w:color="000000"/>
        <w:lang w:val="fr-FR"/>
      </w:rPr>
    </w:lvl>
    <w:lvl w:ilvl="1">
      <w:start w:val="1"/>
      <w:numFmt w:val="bullet"/>
      <w:lvlText w:val="o"/>
      <w:lvlJc w:val="left"/>
      <w:rPr>
        <w:rFonts w:ascii="Calibri" w:eastAsia="Calibri" w:hAnsi="Calibri" w:cs="Calibri"/>
        <w:color w:val="000000"/>
        <w:position w:val="0"/>
        <w:u w:color="000000"/>
        <w:lang w:val="fr-FR"/>
      </w:rPr>
    </w:lvl>
    <w:lvl w:ilvl="2">
      <w:start w:val="1"/>
      <w:numFmt w:val="bullet"/>
      <w:lvlText w:val="▪"/>
      <w:lvlJc w:val="left"/>
      <w:rPr>
        <w:rFonts w:ascii="Calibri" w:eastAsia="Calibri" w:hAnsi="Calibri" w:cs="Calibri"/>
        <w:color w:val="000000"/>
        <w:position w:val="0"/>
        <w:u w:color="000000"/>
        <w:lang w:val="fr-FR"/>
      </w:rPr>
    </w:lvl>
    <w:lvl w:ilvl="3">
      <w:start w:val="1"/>
      <w:numFmt w:val="bullet"/>
      <w:lvlText w:val="•"/>
      <w:lvlJc w:val="left"/>
      <w:rPr>
        <w:rFonts w:ascii="Calibri" w:eastAsia="Calibri" w:hAnsi="Calibri" w:cs="Calibri"/>
        <w:color w:val="000000"/>
        <w:position w:val="0"/>
        <w:u w:color="000000"/>
        <w:lang w:val="fr-FR"/>
      </w:rPr>
    </w:lvl>
    <w:lvl w:ilvl="4">
      <w:start w:val="1"/>
      <w:numFmt w:val="bullet"/>
      <w:lvlText w:val="o"/>
      <w:lvlJc w:val="left"/>
      <w:rPr>
        <w:rFonts w:ascii="Calibri" w:eastAsia="Calibri" w:hAnsi="Calibri" w:cs="Calibri"/>
        <w:color w:val="000000"/>
        <w:position w:val="0"/>
        <w:u w:color="000000"/>
        <w:lang w:val="fr-FR"/>
      </w:rPr>
    </w:lvl>
    <w:lvl w:ilvl="5">
      <w:start w:val="1"/>
      <w:numFmt w:val="bullet"/>
      <w:lvlText w:val="▪"/>
      <w:lvlJc w:val="left"/>
      <w:rPr>
        <w:rFonts w:ascii="Calibri" w:eastAsia="Calibri" w:hAnsi="Calibri" w:cs="Calibri"/>
        <w:color w:val="000000"/>
        <w:position w:val="0"/>
        <w:u w:color="000000"/>
        <w:lang w:val="fr-FR"/>
      </w:rPr>
    </w:lvl>
    <w:lvl w:ilvl="6">
      <w:start w:val="1"/>
      <w:numFmt w:val="bullet"/>
      <w:lvlText w:val="•"/>
      <w:lvlJc w:val="left"/>
      <w:rPr>
        <w:rFonts w:ascii="Calibri" w:eastAsia="Calibri" w:hAnsi="Calibri" w:cs="Calibri"/>
        <w:color w:val="000000"/>
        <w:position w:val="0"/>
        <w:u w:color="000000"/>
        <w:lang w:val="fr-FR"/>
      </w:rPr>
    </w:lvl>
    <w:lvl w:ilvl="7">
      <w:start w:val="1"/>
      <w:numFmt w:val="bullet"/>
      <w:lvlText w:val="o"/>
      <w:lvlJc w:val="left"/>
      <w:rPr>
        <w:rFonts w:ascii="Calibri" w:eastAsia="Calibri" w:hAnsi="Calibri" w:cs="Calibri"/>
        <w:color w:val="000000"/>
        <w:position w:val="0"/>
        <w:u w:color="000000"/>
        <w:lang w:val="fr-FR"/>
      </w:rPr>
    </w:lvl>
    <w:lvl w:ilvl="8">
      <w:start w:val="1"/>
      <w:numFmt w:val="bullet"/>
      <w:lvlText w:val="▪"/>
      <w:lvlJc w:val="left"/>
      <w:rPr>
        <w:rFonts w:ascii="Calibri" w:eastAsia="Calibri" w:hAnsi="Calibri" w:cs="Calibri"/>
        <w:color w:val="000000"/>
        <w:position w:val="0"/>
        <w:u w:color="000000"/>
        <w:lang w:val="fr-FR"/>
      </w:rPr>
    </w:lvl>
  </w:abstractNum>
  <w:abstractNum w:abstractNumId="18" w15:restartNumberingAfterBreak="0">
    <w:nsid w:val="4C034E72"/>
    <w:multiLevelType w:val="hybridMultilevel"/>
    <w:tmpl w:val="BC5A5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32556"/>
    <w:multiLevelType w:val="hybridMultilevel"/>
    <w:tmpl w:val="19DC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F15D4"/>
    <w:multiLevelType w:val="hybridMultilevel"/>
    <w:tmpl w:val="8E84D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45E9F"/>
    <w:multiLevelType w:val="hybridMultilevel"/>
    <w:tmpl w:val="8BC45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A024A0"/>
    <w:multiLevelType w:val="hybridMultilevel"/>
    <w:tmpl w:val="8BC45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0E63D2"/>
    <w:multiLevelType w:val="hybridMultilevel"/>
    <w:tmpl w:val="65F02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792D95"/>
    <w:multiLevelType w:val="hybridMultilevel"/>
    <w:tmpl w:val="D2BA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03DA7"/>
    <w:multiLevelType w:val="hybridMultilevel"/>
    <w:tmpl w:val="DB4A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473DB"/>
    <w:multiLevelType w:val="hybridMultilevel"/>
    <w:tmpl w:val="5338E6F0"/>
    <w:lvl w:ilvl="0" w:tplc="04090001">
      <w:start w:val="1"/>
      <w:numFmt w:val="bullet"/>
      <w:lvlText w:val=""/>
      <w:lvlJc w:val="left"/>
      <w:pPr>
        <w:ind w:left="1080" w:hanging="360"/>
      </w:pPr>
      <w:rPr>
        <w:rFonts w:ascii="Symbol" w:hAnsi="Symbol" w:hint="default"/>
      </w:rPr>
    </w:lvl>
    <w:lvl w:ilvl="1" w:tplc="2AEE5FEC">
      <w:numFmt w:val="bullet"/>
      <w:lvlText w:val="-"/>
      <w:lvlJc w:val="left"/>
      <w:pPr>
        <w:ind w:left="1800" w:hanging="360"/>
      </w:pPr>
      <w:rPr>
        <w:rFonts w:ascii="Calibri" w:eastAsiaTheme="minorEastAsia"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42664A"/>
    <w:multiLevelType w:val="hybridMultilevel"/>
    <w:tmpl w:val="29D42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014D5"/>
    <w:multiLevelType w:val="hybridMultilevel"/>
    <w:tmpl w:val="96500A30"/>
    <w:lvl w:ilvl="0" w:tplc="80F844B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F4969"/>
    <w:multiLevelType w:val="hybridMultilevel"/>
    <w:tmpl w:val="ED36D7F4"/>
    <w:lvl w:ilvl="0" w:tplc="D108AE4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E5F35"/>
    <w:multiLevelType w:val="hybridMultilevel"/>
    <w:tmpl w:val="62609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405E13"/>
    <w:multiLevelType w:val="hybridMultilevel"/>
    <w:tmpl w:val="954C07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0F5220"/>
    <w:multiLevelType w:val="hybridMultilevel"/>
    <w:tmpl w:val="F200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862FB"/>
    <w:multiLevelType w:val="hybridMultilevel"/>
    <w:tmpl w:val="0C3A4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6C1CBA"/>
    <w:multiLevelType w:val="multilevel"/>
    <w:tmpl w:val="91A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8"/>
  </w:num>
  <w:num w:numId="3">
    <w:abstractNumId w:val="16"/>
  </w:num>
  <w:num w:numId="4">
    <w:abstractNumId w:val="25"/>
  </w:num>
  <w:num w:numId="5">
    <w:abstractNumId w:val="31"/>
  </w:num>
  <w:num w:numId="6">
    <w:abstractNumId w:val="19"/>
  </w:num>
  <w:num w:numId="7">
    <w:abstractNumId w:val="13"/>
  </w:num>
  <w:num w:numId="8">
    <w:abstractNumId w:val="24"/>
  </w:num>
  <w:num w:numId="9">
    <w:abstractNumId w:val="6"/>
  </w:num>
  <w:num w:numId="10">
    <w:abstractNumId w:val="34"/>
  </w:num>
  <w:num w:numId="11">
    <w:abstractNumId w:val="4"/>
  </w:num>
  <w:num w:numId="12">
    <w:abstractNumId w:val="9"/>
  </w:num>
  <w:num w:numId="13">
    <w:abstractNumId w:val="29"/>
  </w:num>
  <w:num w:numId="14">
    <w:abstractNumId w:val="2"/>
  </w:num>
  <w:num w:numId="15">
    <w:abstractNumId w:val="26"/>
  </w:num>
  <w:num w:numId="16">
    <w:abstractNumId w:val="27"/>
  </w:num>
  <w:num w:numId="17">
    <w:abstractNumId w:val="20"/>
  </w:num>
  <w:num w:numId="18">
    <w:abstractNumId w:val="11"/>
  </w:num>
  <w:num w:numId="19">
    <w:abstractNumId w:val="7"/>
  </w:num>
  <w:num w:numId="20">
    <w:abstractNumId w:val="22"/>
  </w:num>
  <w:num w:numId="21">
    <w:abstractNumId w:val="23"/>
  </w:num>
  <w:num w:numId="22">
    <w:abstractNumId w:val="5"/>
  </w:num>
  <w:num w:numId="23">
    <w:abstractNumId w:val="33"/>
  </w:num>
  <w:num w:numId="24">
    <w:abstractNumId w:val="21"/>
  </w:num>
  <w:num w:numId="25">
    <w:abstractNumId w:val="1"/>
  </w:num>
  <w:num w:numId="26">
    <w:abstractNumId w:val="30"/>
  </w:num>
  <w:num w:numId="27">
    <w:abstractNumId w:val="14"/>
  </w:num>
  <w:num w:numId="28">
    <w:abstractNumId w:val="15"/>
  </w:num>
  <w:num w:numId="29">
    <w:abstractNumId w:val="17"/>
  </w:num>
  <w:num w:numId="30">
    <w:abstractNumId w:val="10"/>
  </w:num>
  <w:num w:numId="31">
    <w:abstractNumId w:val="12"/>
  </w:num>
  <w:num w:numId="32">
    <w:abstractNumId w:val="0"/>
  </w:num>
  <w:num w:numId="33">
    <w:abstractNumId w:val="3"/>
  </w:num>
  <w:num w:numId="34">
    <w:abstractNumId w:val="2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fr-CH" w:vendorID="64" w:dllVersion="6" w:nlCheck="1" w:checkStyle="0"/>
  <w:activeWritingStyle w:appName="MSWord" w:lang="fr-LU"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B0"/>
    <w:rsid w:val="00002FE8"/>
    <w:rsid w:val="0000692D"/>
    <w:rsid w:val="00006E77"/>
    <w:rsid w:val="00015F6D"/>
    <w:rsid w:val="00020620"/>
    <w:rsid w:val="00020FE3"/>
    <w:rsid w:val="000216C0"/>
    <w:rsid w:val="00022549"/>
    <w:rsid w:val="00024C8E"/>
    <w:rsid w:val="00024E56"/>
    <w:rsid w:val="00026620"/>
    <w:rsid w:val="00026823"/>
    <w:rsid w:val="000302A3"/>
    <w:rsid w:val="00031E6A"/>
    <w:rsid w:val="00033391"/>
    <w:rsid w:val="0003533B"/>
    <w:rsid w:val="00041EA6"/>
    <w:rsid w:val="000443D1"/>
    <w:rsid w:val="00047265"/>
    <w:rsid w:val="00047A8C"/>
    <w:rsid w:val="00051C90"/>
    <w:rsid w:val="000542D7"/>
    <w:rsid w:val="000565BF"/>
    <w:rsid w:val="00057D07"/>
    <w:rsid w:val="00060BC4"/>
    <w:rsid w:val="00063607"/>
    <w:rsid w:val="0006418D"/>
    <w:rsid w:val="0006472B"/>
    <w:rsid w:val="00064AC2"/>
    <w:rsid w:val="00065911"/>
    <w:rsid w:val="00067EEB"/>
    <w:rsid w:val="000765A1"/>
    <w:rsid w:val="000771E9"/>
    <w:rsid w:val="00080996"/>
    <w:rsid w:val="00081CD6"/>
    <w:rsid w:val="00081E0C"/>
    <w:rsid w:val="00082372"/>
    <w:rsid w:val="00082DE5"/>
    <w:rsid w:val="00082FA0"/>
    <w:rsid w:val="00084A3B"/>
    <w:rsid w:val="00085673"/>
    <w:rsid w:val="00092EAC"/>
    <w:rsid w:val="0009403C"/>
    <w:rsid w:val="0009499A"/>
    <w:rsid w:val="00094C33"/>
    <w:rsid w:val="000965E9"/>
    <w:rsid w:val="000A2087"/>
    <w:rsid w:val="000A603D"/>
    <w:rsid w:val="000D1EF1"/>
    <w:rsid w:val="000D3161"/>
    <w:rsid w:val="000D420F"/>
    <w:rsid w:val="000D7F86"/>
    <w:rsid w:val="000E39B5"/>
    <w:rsid w:val="000F31DA"/>
    <w:rsid w:val="000F3EB0"/>
    <w:rsid w:val="000F488D"/>
    <w:rsid w:val="000F60C1"/>
    <w:rsid w:val="000F7CE8"/>
    <w:rsid w:val="0010050D"/>
    <w:rsid w:val="00101B27"/>
    <w:rsid w:val="001031CC"/>
    <w:rsid w:val="00103D61"/>
    <w:rsid w:val="0010528C"/>
    <w:rsid w:val="001058EB"/>
    <w:rsid w:val="00106B64"/>
    <w:rsid w:val="0011259F"/>
    <w:rsid w:val="00116C47"/>
    <w:rsid w:val="00117FFD"/>
    <w:rsid w:val="0012154E"/>
    <w:rsid w:val="00121566"/>
    <w:rsid w:val="001261D3"/>
    <w:rsid w:val="00131B49"/>
    <w:rsid w:val="001328C3"/>
    <w:rsid w:val="00133818"/>
    <w:rsid w:val="00134852"/>
    <w:rsid w:val="001361B6"/>
    <w:rsid w:val="0013737E"/>
    <w:rsid w:val="00137EF3"/>
    <w:rsid w:val="00147711"/>
    <w:rsid w:val="00147E1C"/>
    <w:rsid w:val="00152677"/>
    <w:rsid w:val="00153CAC"/>
    <w:rsid w:val="00156B24"/>
    <w:rsid w:val="0016197E"/>
    <w:rsid w:val="00162C17"/>
    <w:rsid w:val="001669E7"/>
    <w:rsid w:val="00172A51"/>
    <w:rsid w:val="00173CB0"/>
    <w:rsid w:val="001819D5"/>
    <w:rsid w:val="001837CB"/>
    <w:rsid w:val="00192150"/>
    <w:rsid w:val="00192AAE"/>
    <w:rsid w:val="00192B68"/>
    <w:rsid w:val="001931E4"/>
    <w:rsid w:val="00195C19"/>
    <w:rsid w:val="001A00FA"/>
    <w:rsid w:val="001A1E0F"/>
    <w:rsid w:val="001A1FCA"/>
    <w:rsid w:val="001A6D8E"/>
    <w:rsid w:val="001B0E55"/>
    <w:rsid w:val="001B31DB"/>
    <w:rsid w:val="001B342A"/>
    <w:rsid w:val="001B4CEF"/>
    <w:rsid w:val="001B5D84"/>
    <w:rsid w:val="001C0FAE"/>
    <w:rsid w:val="001C2EDF"/>
    <w:rsid w:val="001C4D4A"/>
    <w:rsid w:val="001C77BC"/>
    <w:rsid w:val="001D293D"/>
    <w:rsid w:val="001D4C49"/>
    <w:rsid w:val="001E3D19"/>
    <w:rsid w:val="001E59CC"/>
    <w:rsid w:val="001E661B"/>
    <w:rsid w:val="001F5A26"/>
    <w:rsid w:val="001F7A14"/>
    <w:rsid w:val="00200479"/>
    <w:rsid w:val="0020337B"/>
    <w:rsid w:val="002039C7"/>
    <w:rsid w:val="00205C2D"/>
    <w:rsid w:val="002062BB"/>
    <w:rsid w:val="00210800"/>
    <w:rsid w:val="00211B3E"/>
    <w:rsid w:val="00211C01"/>
    <w:rsid w:val="00216653"/>
    <w:rsid w:val="002220C0"/>
    <w:rsid w:val="00222F54"/>
    <w:rsid w:val="00224DCF"/>
    <w:rsid w:val="00241E38"/>
    <w:rsid w:val="00250610"/>
    <w:rsid w:val="00254599"/>
    <w:rsid w:val="00256AF5"/>
    <w:rsid w:val="00257A47"/>
    <w:rsid w:val="002604F9"/>
    <w:rsid w:val="00261438"/>
    <w:rsid w:val="00265187"/>
    <w:rsid w:val="0026631A"/>
    <w:rsid w:val="002706B9"/>
    <w:rsid w:val="002740AB"/>
    <w:rsid w:val="00274336"/>
    <w:rsid w:val="00276036"/>
    <w:rsid w:val="002770D9"/>
    <w:rsid w:val="0029346F"/>
    <w:rsid w:val="00294630"/>
    <w:rsid w:val="002951F9"/>
    <w:rsid w:val="00295F23"/>
    <w:rsid w:val="0029740D"/>
    <w:rsid w:val="002A0226"/>
    <w:rsid w:val="002B38DA"/>
    <w:rsid w:val="002B5F76"/>
    <w:rsid w:val="002B7BEA"/>
    <w:rsid w:val="002C05EE"/>
    <w:rsid w:val="002C17D9"/>
    <w:rsid w:val="002C60A4"/>
    <w:rsid w:val="002D0A99"/>
    <w:rsid w:val="002D33E3"/>
    <w:rsid w:val="002D4755"/>
    <w:rsid w:val="002D6FBA"/>
    <w:rsid w:val="002E1632"/>
    <w:rsid w:val="002E208E"/>
    <w:rsid w:val="002E3E25"/>
    <w:rsid w:val="002E6956"/>
    <w:rsid w:val="002F0C62"/>
    <w:rsid w:val="002F34E9"/>
    <w:rsid w:val="00302C60"/>
    <w:rsid w:val="00303FC0"/>
    <w:rsid w:val="003040A3"/>
    <w:rsid w:val="00312380"/>
    <w:rsid w:val="00312F24"/>
    <w:rsid w:val="00313150"/>
    <w:rsid w:val="00320777"/>
    <w:rsid w:val="00331DD3"/>
    <w:rsid w:val="00331E69"/>
    <w:rsid w:val="003339FA"/>
    <w:rsid w:val="00334BCC"/>
    <w:rsid w:val="0033550F"/>
    <w:rsid w:val="0034577F"/>
    <w:rsid w:val="00345A9B"/>
    <w:rsid w:val="00346C84"/>
    <w:rsid w:val="00352810"/>
    <w:rsid w:val="003542C1"/>
    <w:rsid w:val="00356339"/>
    <w:rsid w:val="00357611"/>
    <w:rsid w:val="00363810"/>
    <w:rsid w:val="00364A39"/>
    <w:rsid w:val="00371B70"/>
    <w:rsid w:val="00371F9A"/>
    <w:rsid w:val="0037429F"/>
    <w:rsid w:val="00374FF1"/>
    <w:rsid w:val="003779E2"/>
    <w:rsid w:val="003810E1"/>
    <w:rsid w:val="00381568"/>
    <w:rsid w:val="0038188F"/>
    <w:rsid w:val="003818F9"/>
    <w:rsid w:val="00386AA3"/>
    <w:rsid w:val="00390A02"/>
    <w:rsid w:val="00394CE4"/>
    <w:rsid w:val="0039513F"/>
    <w:rsid w:val="00395553"/>
    <w:rsid w:val="003A1CE6"/>
    <w:rsid w:val="003A32ED"/>
    <w:rsid w:val="003A6B3A"/>
    <w:rsid w:val="003B1C56"/>
    <w:rsid w:val="003B6BEA"/>
    <w:rsid w:val="003C10FD"/>
    <w:rsid w:val="003D04F9"/>
    <w:rsid w:val="003D6557"/>
    <w:rsid w:val="003D7554"/>
    <w:rsid w:val="003F1E89"/>
    <w:rsid w:val="0040173D"/>
    <w:rsid w:val="004026B6"/>
    <w:rsid w:val="00405CBC"/>
    <w:rsid w:val="0040613E"/>
    <w:rsid w:val="00406288"/>
    <w:rsid w:val="00412D47"/>
    <w:rsid w:val="004138E4"/>
    <w:rsid w:val="00414346"/>
    <w:rsid w:val="00426630"/>
    <w:rsid w:val="00432A1A"/>
    <w:rsid w:val="004342AA"/>
    <w:rsid w:val="0043440A"/>
    <w:rsid w:val="00440BBD"/>
    <w:rsid w:val="00444696"/>
    <w:rsid w:val="00450284"/>
    <w:rsid w:val="004512A6"/>
    <w:rsid w:val="00451D3D"/>
    <w:rsid w:val="004530A3"/>
    <w:rsid w:val="004600B7"/>
    <w:rsid w:val="00462FFF"/>
    <w:rsid w:val="00463208"/>
    <w:rsid w:val="004643ED"/>
    <w:rsid w:val="004675E9"/>
    <w:rsid w:val="00475E3D"/>
    <w:rsid w:val="00477D71"/>
    <w:rsid w:val="00485F57"/>
    <w:rsid w:val="00494985"/>
    <w:rsid w:val="004A0476"/>
    <w:rsid w:val="004A1067"/>
    <w:rsid w:val="004A24F0"/>
    <w:rsid w:val="004A2F31"/>
    <w:rsid w:val="004A5752"/>
    <w:rsid w:val="004A7483"/>
    <w:rsid w:val="004B00BA"/>
    <w:rsid w:val="004C4F08"/>
    <w:rsid w:val="004C6695"/>
    <w:rsid w:val="004D431C"/>
    <w:rsid w:val="004E4025"/>
    <w:rsid w:val="004F149C"/>
    <w:rsid w:val="004F5FD9"/>
    <w:rsid w:val="00502F98"/>
    <w:rsid w:val="005035D0"/>
    <w:rsid w:val="00503943"/>
    <w:rsid w:val="00505088"/>
    <w:rsid w:val="005172B4"/>
    <w:rsid w:val="0051798A"/>
    <w:rsid w:val="00517A79"/>
    <w:rsid w:val="0052097A"/>
    <w:rsid w:val="00524130"/>
    <w:rsid w:val="00525D51"/>
    <w:rsid w:val="00536051"/>
    <w:rsid w:val="00552E65"/>
    <w:rsid w:val="0055456F"/>
    <w:rsid w:val="00561AD0"/>
    <w:rsid w:val="0056344A"/>
    <w:rsid w:val="00566BB4"/>
    <w:rsid w:val="00566E6A"/>
    <w:rsid w:val="00572427"/>
    <w:rsid w:val="00572529"/>
    <w:rsid w:val="005725F5"/>
    <w:rsid w:val="0057547C"/>
    <w:rsid w:val="00576AC9"/>
    <w:rsid w:val="005849F5"/>
    <w:rsid w:val="0058789D"/>
    <w:rsid w:val="0059177F"/>
    <w:rsid w:val="00594699"/>
    <w:rsid w:val="0059511B"/>
    <w:rsid w:val="0059708B"/>
    <w:rsid w:val="0059721C"/>
    <w:rsid w:val="005977CA"/>
    <w:rsid w:val="005A1753"/>
    <w:rsid w:val="005A2C71"/>
    <w:rsid w:val="005A3A03"/>
    <w:rsid w:val="005B380C"/>
    <w:rsid w:val="005B4131"/>
    <w:rsid w:val="005C14E5"/>
    <w:rsid w:val="005C7C7F"/>
    <w:rsid w:val="005D5984"/>
    <w:rsid w:val="005D59BC"/>
    <w:rsid w:val="005D701C"/>
    <w:rsid w:val="005E0C5D"/>
    <w:rsid w:val="005E16EE"/>
    <w:rsid w:val="005E1821"/>
    <w:rsid w:val="005E1D8E"/>
    <w:rsid w:val="005E29B2"/>
    <w:rsid w:val="005F0A60"/>
    <w:rsid w:val="00600276"/>
    <w:rsid w:val="006006F8"/>
    <w:rsid w:val="00601180"/>
    <w:rsid w:val="00601712"/>
    <w:rsid w:val="006103E3"/>
    <w:rsid w:val="00611474"/>
    <w:rsid w:val="00612C17"/>
    <w:rsid w:val="0061327D"/>
    <w:rsid w:val="00617993"/>
    <w:rsid w:val="006204B3"/>
    <w:rsid w:val="00622757"/>
    <w:rsid w:val="00625F9E"/>
    <w:rsid w:val="00631661"/>
    <w:rsid w:val="006337E3"/>
    <w:rsid w:val="006350B7"/>
    <w:rsid w:val="00637AC0"/>
    <w:rsid w:val="00640862"/>
    <w:rsid w:val="006416DA"/>
    <w:rsid w:val="00644024"/>
    <w:rsid w:val="0064627A"/>
    <w:rsid w:val="00647F36"/>
    <w:rsid w:val="00653595"/>
    <w:rsid w:val="00654CD4"/>
    <w:rsid w:val="0065534B"/>
    <w:rsid w:val="0066399C"/>
    <w:rsid w:val="00663B62"/>
    <w:rsid w:val="0066628A"/>
    <w:rsid w:val="00666485"/>
    <w:rsid w:val="00666A49"/>
    <w:rsid w:val="00666AF0"/>
    <w:rsid w:val="00670993"/>
    <w:rsid w:val="00676582"/>
    <w:rsid w:val="006771C6"/>
    <w:rsid w:val="00677FFD"/>
    <w:rsid w:val="00686492"/>
    <w:rsid w:val="00687AAA"/>
    <w:rsid w:val="00690D53"/>
    <w:rsid w:val="00691333"/>
    <w:rsid w:val="0069577B"/>
    <w:rsid w:val="006974E9"/>
    <w:rsid w:val="006A0F0B"/>
    <w:rsid w:val="006A4734"/>
    <w:rsid w:val="006A6AFA"/>
    <w:rsid w:val="006B0D1B"/>
    <w:rsid w:val="006B1474"/>
    <w:rsid w:val="006B271D"/>
    <w:rsid w:val="006B5213"/>
    <w:rsid w:val="006B552B"/>
    <w:rsid w:val="006C0016"/>
    <w:rsid w:val="006C0F37"/>
    <w:rsid w:val="006C3AEA"/>
    <w:rsid w:val="006C4D3C"/>
    <w:rsid w:val="006D04AD"/>
    <w:rsid w:val="006D305D"/>
    <w:rsid w:val="006D7441"/>
    <w:rsid w:val="006E262F"/>
    <w:rsid w:val="006E3270"/>
    <w:rsid w:val="006E3423"/>
    <w:rsid w:val="006E4564"/>
    <w:rsid w:val="006E456F"/>
    <w:rsid w:val="006E7B95"/>
    <w:rsid w:val="006F0477"/>
    <w:rsid w:val="006F4CBC"/>
    <w:rsid w:val="006F78BC"/>
    <w:rsid w:val="00700976"/>
    <w:rsid w:val="007112D4"/>
    <w:rsid w:val="00712805"/>
    <w:rsid w:val="0072343D"/>
    <w:rsid w:val="00723599"/>
    <w:rsid w:val="00727BD6"/>
    <w:rsid w:val="00730336"/>
    <w:rsid w:val="00731E93"/>
    <w:rsid w:val="007326D0"/>
    <w:rsid w:val="00732DF5"/>
    <w:rsid w:val="0074313B"/>
    <w:rsid w:val="00744D06"/>
    <w:rsid w:val="00745886"/>
    <w:rsid w:val="00751315"/>
    <w:rsid w:val="007524FE"/>
    <w:rsid w:val="00756556"/>
    <w:rsid w:val="007625AB"/>
    <w:rsid w:val="00763997"/>
    <w:rsid w:val="00763DF6"/>
    <w:rsid w:val="00763FAE"/>
    <w:rsid w:val="00766E40"/>
    <w:rsid w:val="007716CF"/>
    <w:rsid w:val="0077181E"/>
    <w:rsid w:val="00773D23"/>
    <w:rsid w:val="00776614"/>
    <w:rsid w:val="00784EC1"/>
    <w:rsid w:val="007872A5"/>
    <w:rsid w:val="00790365"/>
    <w:rsid w:val="00791EE3"/>
    <w:rsid w:val="00797882"/>
    <w:rsid w:val="007A0EC7"/>
    <w:rsid w:val="007A28B9"/>
    <w:rsid w:val="007A73B4"/>
    <w:rsid w:val="007B49C1"/>
    <w:rsid w:val="007B702D"/>
    <w:rsid w:val="007C20E8"/>
    <w:rsid w:val="007C4E1E"/>
    <w:rsid w:val="007C5CA1"/>
    <w:rsid w:val="007D3486"/>
    <w:rsid w:val="007D4B39"/>
    <w:rsid w:val="007E6B2A"/>
    <w:rsid w:val="008034F5"/>
    <w:rsid w:val="00803CAE"/>
    <w:rsid w:val="008104DB"/>
    <w:rsid w:val="00810BF0"/>
    <w:rsid w:val="0081455C"/>
    <w:rsid w:val="00814768"/>
    <w:rsid w:val="00817D09"/>
    <w:rsid w:val="0082069A"/>
    <w:rsid w:val="00823D8F"/>
    <w:rsid w:val="008320BB"/>
    <w:rsid w:val="00833B7E"/>
    <w:rsid w:val="00835525"/>
    <w:rsid w:val="0083610A"/>
    <w:rsid w:val="00837990"/>
    <w:rsid w:val="008430D0"/>
    <w:rsid w:val="0084489D"/>
    <w:rsid w:val="00851D7F"/>
    <w:rsid w:val="008544DE"/>
    <w:rsid w:val="00867A7A"/>
    <w:rsid w:val="00870342"/>
    <w:rsid w:val="00870864"/>
    <w:rsid w:val="00875054"/>
    <w:rsid w:val="00875AD0"/>
    <w:rsid w:val="00876799"/>
    <w:rsid w:val="00893E0A"/>
    <w:rsid w:val="00896372"/>
    <w:rsid w:val="008967B2"/>
    <w:rsid w:val="008A0E7D"/>
    <w:rsid w:val="008A27F1"/>
    <w:rsid w:val="008A3823"/>
    <w:rsid w:val="008A3BDC"/>
    <w:rsid w:val="008A4B4F"/>
    <w:rsid w:val="008A4EA6"/>
    <w:rsid w:val="008A7E3A"/>
    <w:rsid w:val="008B3486"/>
    <w:rsid w:val="008B47B9"/>
    <w:rsid w:val="008B7850"/>
    <w:rsid w:val="008C1924"/>
    <w:rsid w:val="008C5401"/>
    <w:rsid w:val="008C687A"/>
    <w:rsid w:val="008D63B4"/>
    <w:rsid w:val="008D75DB"/>
    <w:rsid w:val="008D7B8F"/>
    <w:rsid w:val="008E0C7D"/>
    <w:rsid w:val="008E64C1"/>
    <w:rsid w:val="008F040B"/>
    <w:rsid w:val="008F16C8"/>
    <w:rsid w:val="008F1A03"/>
    <w:rsid w:val="008F2F05"/>
    <w:rsid w:val="008F2FF1"/>
    <w:rsid w:val="008F7847"/>
    <w:rsid w:val="00901C3F"/>
    <w:rsid w:val="00904A19"/>
    <w:rsid w:val="00906200"/>
    <w:rsid w:val="00906FA1"/>
    <w:rsid w:val="00910117"/>
    <w:rsid w:val="0091175C"/>
    <w:rsid w:val="00913248"/>
    <w:rsid w:val="00913401"/>
    <w:rsid w:val="009163D5"/>
    <w:rsid w:val="0091763A"/>
    <w:rsid w:val="009217DF"/>
    <w:rsid w:val="009342D9"/>
    <w:rsid w:val="009370F4"/>
    <w:rsid w:val="00937E68"/>
    <w:rsid w:val="009449A2"/>
    <w:rsid w:val="00950211"/>
    <w:rsid w:val="0095021B"/>
    <w:rsid w:val="00954FF9"/>
    <w:rsid w:val="009553A3"/>
    <w:rsid w:val="00957804"/>
    <w:rsid w:val="009605D7"/>
    <w:rsid w:val="009660A4"/>
    <w:rsid w:val="00971F3B"/>
    <w:rsid w:val="00974C21"/>
    <w:rsid w:val="009776C7"/>
    <w:rsid w:val="009920A2"/>
    <w:rsid w:val="00992A20"/>
    <w:rsid w:val="009976ED"/>
    <w:rsid w:val="009A03FB"/>
    <w:rsid w:val="009B0682"/>
    <w:rsid w:val="009B0D46"/>
    <w:rsid w:val="009B3548"/>
    <w:rsid w:val="009B510A"/>
    <w:rsid w:val="009C1A6C"/>
    <w:rsid w:val="009C20C9"/>
    <w:rsid w:val="009C286B"/>
    <w:rsid w:val="009C3515"/>
    <w:rsid w:val="009C52AE"/>
    <w:rsid w:val="009E53FF"/>
    <w:rsid w:val="009F0DF1"/>
    <w:rsid w:val="009F532C"/>
    <w:rsid w:val="00A02121"/>
    <w:rsid w:val="00A04CCF"/>
    <w:rsid w:val="00A10F36"/>
    <w:rsid w:val="00A205BC"/>
    <w:rsid w:val="00A270D0"/>
    <w:rsid w:val="00A276E7"/>
    <w:rsid w:val="00A27F1B"/>
    <w:rsid w:val="00A30DFF"/>
    <w:rsid w:val="00A31839"/>
    <w:rsid w:val="00A3328C"/>
    <w:rsid w:val="00A37C24"/>
    <w:rsid w:val="00A42B58"/>
    <w:rsid w:val="00A45DBC"/>
    <w:rsid w:val="00A47C45"/>
    <w:rsid w:val="00A501ED"/>
    <w:rsid w:val="00A502FB"/>
    <w:rsid w:val="00A55952"/>
    <w:rsid w:val="00A55C0C"/>
    <w:rsid w:val="00A56FFD"/>
    <w:rsid w:val="00A57EB3"/>
    <w:rsid w:val="00A655DC"/>
    <w:rsid w:val="00A75E9E"/>
    <w:rsid w:val="00A80370"/>
    <w:rsid w:val="00A84281"/>
    <w:rsid w:val="00A866DB"/>
    <w:rsid w:val="00A86880"/>
    <w:rsid w:val="00A87196"/>
    <w:rsid w:val="00A90090"/>
    <w:rsid w:val="00A90BF9"/>
    <w:rsid w:val="00A9344F"/>
    <w:rsid w:val="00AA2296"/>
    <w:rsid w:val="00AA6F8F"/>
    <w:rsid w:val="00AA7491"/>
    <w:rsid w:val="00AB38E4"/>
    <w:rsid w:val="00AC13BA"/>
    <w:rsid w:val="00AC1565"/>
    <w:rsid w:val="00AC1A0A"/>
    <w:rsid w:val="00AC1D79"/>
    <w:rsid w:val="00AD4556"/>
    <w:rsid w:val="00AD5BB9"/>
    <w:rsid w:val="00AF1435"/>
    <w:rsid w:val="00AF62A0"/>
    <w:rsid w:val="00AF6D5C"/>
    <w:rsid w:val="00B037DA"/>
    <w:rsid w:val="00B146D8"/>
    <w:rsid w:val="00B2183F"/>
    <w:rsid w:val="00B27618"/>
    <w:rsid w:val="00B31AE6"/>
    <w:rsid w:val="00B34209"/>
    <w:rsid w:val="00B36445"/>
    <w:rsid w:val="00B3681C"/>
    <w:rsid w:val="00B413B1"/>
    <w:rsid w:val="00B503ED"/>
    <w:rsid w:val="00B5258C"/>
    <w:rsid w:val="00B60599"/>
    <w:rsid w:val="00B60EDB"/>
    <w:rsid w:val="00B62390"/>
    <w:rsid w:val="00B72108"/>
    <w:rsid w:val="00B72BEB"/>
    <w:rsid w:val="00B73B3A"/>
    <w:rsid w:val="00B828A2"/>
    <w:rsid w:val="00B84C6D"/>
    <w:rsid w:val="00B923E8"/>
    <w:rsid w:val="00B933D4"/>
    <w:rsid w:val="00B94A80"/>
    <w:rsid w:val="00B971F3"/>
    <w:rsid w:val="00B9738C"/>
    <w:rsid w:val="00B975DF"/>
    <w:rsid w:val="00BA3882"/>
    <w:rsid w:val="00BA7E74"/>
    <w:rsid w:val="00BB1EFD"/>
    <w:rsid w:val="00BB7918"/>
    <w:rsid w:val="00BC47BC"/>
    <w:rsid w:val="00BD0691"/>
    <w:rsid w:val="00BD0DD8"/>
    <w:rsid w:val="00BD30C8"/>
    <w:rsid w:val="00BD69BD"/>
    <w:rsid w:val="00BF58DE"/>
    <w:rsid w:val="00BF7CE8"/>
    <w:rsid w:val="00C06222"/>
    <w:rsid w:val="00C10D8C"/>
    <w:rsid w:val="00C111C4"/>
    <w:rsid w:val="00C11CD9"/>
    <w:rsid w:val="00C147AD"/>
    <w:rsid w:val="00C16DC2"/>
    <w:rsid w:val="00C1782B"/>
    <w:rsid w:val="00C218B6"/>
    <w:rsid w:val="00C22594"/>
    <w:rsid w:val="00C225E4"/>
    <w:rsid w:val="00C2384D"/>
    <w:rsid w:val="00C3090C"/>
    <w:rsid w:val="00C30BD3"/>
    <w:rsid w:val="00C32907"/>
    <w:rsid w:val="00C32B02"/>
    <w:rsid w:val="00C34802"/>
    <w:rsid w:val="00C43256"/>
    <w:rsid w:val="00C465EC"/>
    <w:rsid w:val="00C57EE5"/>
    <w:rsid w:val="00C610D5"/>
    <w:rsid w:val="00C64BF0"/>
    <w:rsid w:val="00C64E16"/>
    <w:rsid w:val="00C66A55"/>
    <w:rsid w:val="00C72908"/>
    <w:rsid w:val="00C75917"/>
    <w:rsid w:val="00C840F1"/>
    <w:rsid w:val="00C84158"/>
    <w:rsid w:val="00C845A6"/>
    <w:rsid w:val="00C84D66"/>
    <w:rsid w:val="00C90FA6"/>
    <w:rsid w:val="00C928BB"/>
    <w:rsid w:val="00CA382A"/>
    <w:rsid w:val="00CA3CAA"/>
    <w:rsid w:val="00CA63EA"/>
    <w:rsid w:val="00CB1255"/>
    <w:rsid w:val="00CB798B"/>
    <w:rsid w:val="00CC1FEC"/>
    <w:rsid w:val="00CC480E"/>
    <w:rsid w:val="00CD2199"/>
    <w:rsid w:val="00CD354E"/>
    <w:rsid w:val="00CE11BB"/>
    <w:rsid w:val="00CE22DF"/>
    <w:rsid w:val="00CE7581"/>
    <w:rsid w:val="00CF0259"/>
    <w:rsid w:val="00CF2BC7"/>
    <w:rsid w:val="00CF36AE"/>
    <w:rsid w:val="00D034DC"/>
    <w:rsid w:val="00D04041"/>
    <w:rsid w:val="00D0564B"/>
    <w:rsid w:val="00D074D3"/>
    <w:rsid w:val="00D10666"/>
    <w:rsid w:val="00D1532F"/>
    <w:rsid w:val="00D15C26"/>
    <w:rsid w:val="00D171AB"/>
    <w:rsid w:val="00D20542"/>
    <w:rsid w:val="00D22B01"/>
    <w:rsid w:val="00D2367D"/>
    <w:rsid w:val="00D26ABF"/>
    <w:rsid w:val="00D36241"/>
    <w:rsid w:val="00D37B6F"/>
    <w:rsid w:val="00D40F9E"/>
    <w:rsid w:val="00D42FA3"/>
    <w:rsid w:val="00D4353F"/>
    <w:rsid w:val="00D438A0"/>
    <w:rsid w:val="00D50D72"/>
    <w:rsid w:val="00D536CD"/>
    <w:rsid w:val="00D55FC9"/>
    <w:rsid w:val="00D5613A"/>
    <w:rsid w:val="00D677E1"/>
    <w:rsid w:val="00D7218B"/>
    <w:rsid w:val="00D72276"/>
    <w:rsid w:val="00D8041A"/>
    <w:rsid w:val="00D814EB"/>
    <w:rsid w:val="00D837A8"/>
    <w:rsid w:val="00D83BB9"/>
    <w:rsid w:val="00D84D01"/>
    <w:rsid w:val="00D92381"/>
    <w:rsid w:val="00D93B4E"/>
    <w:rsid w:val="00D97303"/>
    <w:rsid w:val="00D974BB"/>
    <w:rsid w:val="00DB1F3C"/>
    <w:rsid w:val="00DC0341"/>
    <w:rsid w:val="00DC068D"/>
    <w:rsid w:val="00DC097B"/>
    <w:rsid w:val="00DD0959"/>
    <w:rsid w:val="00DD123B"/>
    <w:rsid w:val="00DD6194"/>
    <w:rsid w:val="00DD75BD"/>
    <w:rsid w:val="00DD7932"/>
    <w:rsid w:val="00DE0595"/>
    <w:rsid w:val="00DE65C6"/>
    <w:rsid w:val="00DE6F86"/>
    <w:rsid w:val="00DE7F44"/>
    <w:rsid w:val="00DF0292"/>
    <w:rsid w:val="00DF1FFA"/>
    <w:rsid w:val="00E0024F"/>
    <w:rsid w:val="00E02FD8"/>
    <w:rsid w:val="00E04826"/>
    <w:rsid w:val="00E073E0"/>
    <w:rsid w:val="00E237F6"/>
    <w:rsid w:val="00E23DD8"/>
    <w:rsid w:val="00E30292"/>
    <w:rsid w:val="00E33A2D"/>
    <w:rsid w:val="00E37DB4"/>
    <w:rsid w:val="00E41208"/>
    <w:rsid w:val="00E431A8"/>
    <w:rsid w:val="00E43703"/>
    <w:rsid w:val="00E46840"/>
    <w:rsid w:val="00E4750E"/>
    <w:rsid w:val="00E521E9"/>
    <w:rsid w:val="00E5473D"/>
    <w:rsid w:val="00E57EE3"/>
    <w:rsid w:val="00E61264"/>
    <w:rsid w:val="00E617F5"/>
    <w:rsid w:val="00E6281A"/>
    <w:rsid w:val="00E63274"/>
    <w:rsid w:val="00E63876"/>
    <w:rsid w:val="00E643C6"/>
    <w:rsid w:val="00E674BE"/>
    <w:rsid w:val="00E71057"/>
    <w:rsid w:val="00E72737"/>
    <w:rsid w:val="00E738DD"/>
    <w:rsid w:val="00E74B0B"/>
    <w:rsid w:val="00E839D1"/>
    <w:rsid w:val="00E86971"/>
    <w:rsid w:val="00E93E18"/>
    <w:rsid w:val="00EA43C8"/>
    <w:rsid w:val="00EA5D19"/>
    <w:rsid w:val="00EB04CA"/>
    <w:rsid w:val="00EB14DB"/>
    <w:rsid w:val="00EB1690"/>
    <w:rsid w:val="00EB331D"/>
    <w:rsid w:val="00EB7F4E"/>
    <w:rsid w:val="00EC1B75"/>
    <w:rsid w:val="00ED1225"/>
    <w:rsid w:val="00ED1F8F"/>
    <w:rsid w:val="00ED2E64"/>
    <w:rsid w:val="00EE46DE"/>
    <w:rsid w:val="00EF2EB2"/>
    <w:rsid w:val="00EF5615"/>
    <w:rsid w:val="00F00C55"/>
    <w:rsid w:val="00F036D7"/>
    <w:rsid w:val="00F05B7D"/>
    <w:rsid w:val="00F06960"/>
    <w:rsid w:val="00F074F0"/>
    <w:rsid w:val="00F12610"/>
    <w:rsid w:val="00F12D28"/>
    <w:rsid w:val="00F16FB3"/>
    <w:rsid w:val="00F204EE"/>
    <w:rsid w:val="00F20608"/>
    <w:rsid w:val="00F37586"/>
    <w:rsid w:val="00F41282"/>
    <w:rsid w:val="00F42B16"/>
    <w:rsid w:val="00F42DE2"/>
    <w:rsid w:val="00F447B3"/>
    <w:rsid w:val="00F46117"/>
    <w:rsid w:val="00F506EE"/>
    <w:rsid w:val="00F50865"/>
    <w:rsid w:val="00F530A7"/>
    <w:rsid w:val="00F54368"/>
    <w:rsid w:val="00F54BE0"/>
    <w:rsid w:val="00F56C99"/>
    <w:rsid w:val="00F6121B"/>
    <w:rsid w:val="00F612C7"/>
    <w:rsid w:val="00F6383B"/>
    <w:rsid w:val="00F644FE"/>
    <w:rsid w:val="00F7053E"/>
    <w:rsid w:val="00F75D90"/>
    <w:rsid w:val="00F75E29"/>
    <w:rsid w:val="00F7600C"/>
    <w:rsid w:val="00F82B82"/>
    <w:rsid w:val="00F87B69"/>
    <w:rsid w:val="00F906D9"/>
    <w:rsid w:val="00F90AAA"/>
    <w:rsid w:val="00F911A8"/>
    <w:rsid w:val="00F9396D"/>
    <w:rsid w:val="00FA08C6"/>
    <w:rsid w:val="00FA233A"/>
    <w:rsid w:val="00FA3641"/>
    <w:rsid w:val="00FA4AA7"/>
    <w:rsid w:val="00FA6285"/>
    <w:rsid w:val="00FB00D3"/>
    <w:rsid w:val="00FB2F21"/>
    <w:rsid w:val="00FB7D60"/>
    <w:rsid w:val="00FC0888"/>
    <w:rsid w:val="00FC1607"/>
    <w:rsid w:val="00FC655B"/>
    <w:rsid w:val="00FD7751"/>
    <w:rsid w:val="00FD7DC7"/>
    <w:rsid w:val="00FE7C7C"/>
    <w:rsid w:val="00FE7E45"/>
    <w:rsid w:val="00FF3ED0"/>
    <w:rsid w:val="00FF57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10F845"/>
  <w15:docId w15:val="{11FE1339-E82B-45F2-9BD6-17A6F86C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99C"/>
    <w:rPr>
      <w:sz w:val="20"/>
      <w:szCs w:val="20"/>
    </w:rPr>
  </w:style>
  <w:style w:type="paragraph" w:styleId="Heading1">
    <w:name w:val="heading 1"/>
    <w:basedOn w:val="Normal"/>
    <w:next w:val="Normal"/>
    <w:link w:val="Heading1Char"/>
    <w:uiPriority w:val="9"/>
    <w:qFormat/>
    <w:rsid w:val="00663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63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6399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6399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6399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6399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6399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6399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6399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99C"/>
    <w:pPr>
      <w:ind w:left="720"/>
      <w:contextualSpacing/>
    </w:pPr>
  </w:style>
  <w:style w:type="character" w:styleId="Hyperlink">
    <w:name w:val="Hyperlink"/>
    <w:basedOn w:val="DefaultParagraphFont"/>
    <w:uiPriority w:val="99"/>
    <w:unhideWhenUsed/>
    <w:rsid w:val="00B27618"/>
    <w:rPr>
      <w:color w:val="0000FF"/>
      <w:u w:val="single"/>
    </w:rPr>
  </w:style>
  <w:style w:type="paragraph" w:styleId="NormalWeb">
    <w:name w:val="Normal (Web)"/>
    <w:basedOn w:val="Normal"/>
    <w:uiPriority w:val="99"/>
    <w:semiHidden/>
    <w:unhideWhenUsed/>
    <w:rsid w:val="00B27618"/>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customStyle="1" w:styleId="left">
    <w:name w:val="left"/>
    <w:basedOn w:val="DefaultParagraphFont"/>
    <w:rsid w:val="00205C2D"/>
  </w:style>
  <w:style w:type="paragraph" w:styleId="BalloonText">
    <w:name w:val="Balloon Text"/>
    <w:basedOn w:val="Normal"/>
    <w:link w:val="BalloonTextChar"/>
    <w:uiPriority w:val="99"/>
    <w:semiHidden/>
    <w:unhideWhenUsed/>
    <w:rsid w:val="00254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599"/>
    <w:rPr>
      <w:rFonts w:ascii="Tahoma" w:hAnsi="Tahoma" w:cs="Tahoma"/>
      <w:sz w:val="16"/>
      <w:szCs w:val="16"/>
    </w:rPr>
  </w:style>
  <w:style w:type="paragraph" w:styleId="DocumentMap">
    <w:name w:val="Document Map"/>
    <w:basedOn w:val="Normal"/>
    <w:link w:val="DocumentMapChar"/>
    <w:uiPriority w:val="99"/>
    <w:semiHidden/>
    <w:unhideWhenUsed/>
    <w:rsid w:val="00612C1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12C17"/>
    <w:rPr>
      <w:rFonts w:ascii="Times New Roman" w:hAnsi="Times New Roman" w:cs="Times New Roman"/>
      <w:sz w:val="24"/>
      <w:szCs w:val="24"/>
    </w:rPr>
  </w:style>
  <w:style w:type="character" w:customStyle="1" w:styleId="Heading1Char">
    <w:name w:val="Heading 1 Char"/>
    <w:basedOn w:val="DefaultParagraphFont"/>
    <w:link w:val="Heading1"/>
    <w:uiPriority w:val="9"/>
    <w:rsid w:val="0066399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6399C"/>
    <w:rPr>
      <w:caps/>
      <w:spacing w:val="15"/>
      <w:shd w:val="clear" w:color="auto" w:fill="DBE5F1" w:themeFill="accent1" w:themeFillTint="33"/>
    </w:rPr>
  </w:style>
  <w:style w:type="character" w:styleId="IntenseReference">
    <w:name w:val="Intense Reference"/>
    <w:uiPriority w:val="32"/>
    <w:qFormat/>
    <w:rsid w:val="0066399C"/>
    <w:rPr>
      <w:b/>
      <w:bCs/>
      <w:i/>
      <w:iCs/>
      <w:caps/>
      <w:color w:val="4F81BD" w:themeColor="accent1"/>
    </w:rPr>
  </w:style>
  <w:style w:type="character" w:customStyle="1" w:styleId="Heading3Char">
    <w:name w:val="Heading 3 Char"/>
    <w:basedOn w:val="DefaultParagraphFont"/>
    <w:link w:val="Heading3"/>
    <w:uiPriority w:val="9"/>
    <w:rsid w:val="0066399C"/>
    <w:rPr>
      <w:caps/>
      <w:color w:val="243F60" w:themeColor="accent1" w:themeShade="7F"/>
      <w:spacing w:val="15"/>
    </w:rPr>
  </w:style>
  <w:style w:type="character" w:customStyle="1" w:styleId="Heading4Char">
    <w:name w:val="Heading 4 Char"/>
    <w:basedOn w:val="DefaultParagraphFont"/>
    <w:link w:val="Heading4"/>
    <w:uiPriority w:val="9"/>
    <w:rsid w:val="0066399C"/>
    <w:rPr>
      <w:caps/>
      <w:color w:val="365F91" w:themeColor="accent1" w:themeShade="BF"/>
      <w:spacing w:val="10"/>
    </w:rPr>
  </w:style>
  <w:style w:type="character" w:customStyle="1" w:styleId="Heading5Char">
    <w:name w:val="Heading 5 Char"/>
    <w:basedOn w:val="DefaultParagraphFont"/>
    <w:link w:val="Heading5"/>
    <w:uiPriority w:val="9"/>
    <w:rsid w:val="0066399C"/>
    <w:rPr>
      <w:caps/>
      <w:color w:val="365F91" w:themeColor="accent1" w:themeShade="BF"/>
      <w:spacing w:val="10"/>
    </w:rPr>
  </w:style>
  <w:style w:type="character" w:customStyle="1" w:styleId="Heading6Char">
    <w:name w:val="Heading 6 Char"/>
    <w:basedOn w:val="DefaultParagraphFont"/>
    <w:link w:val="Heading6"/>
    <w:uiPriority w:val="9"/>
    <w:semiHidden/>
    <w:rsid w:val="0066399C"/>
    <w:rPr>
      <w:caps/>
      <w:color w:val="365F91" w:themeColor="accent1" w:themeShade="BF"/>
      <w:spacing w:val="10"/>
    </w:rPr>
  </w:style>
  <w:style w:type="character" w:customStyle="1" w:styleId="Heading7Char">
    <w:name w:val="Heading 7 Char"/>
    <w:basedOn w:val="DefaultParagraphFont"/>
    <w:link w:val="Heading7"/>
    <w:uiPriority w:val="9"/>
    <w:semiHidden/>
    <w:rsid w:val="0066399C"/>
    <w:rPr>
      <w:caps/>
      <w:color w:val="365F91" w:themeColor="accent1" w:themeShade="BF"/>
      <w:spacing w:val="10"/>
    </w:rPr>
  </w:style>
  <w:style w:type="character" w:customStyle="1" w:styleId="Heading8Char">
    <w:name w:val="Heading 8 Char"/>
    <w:basedOn w:val="DefaultParagraphFont"/>
    <w:link w:val="Heading8"/>
    <w:uiPriority w:val="9"/>
    <w:semiHidden/>
    <w:rsid w:val="0066399C"/>
    <w:rPr>
      <w:caps/>
      <w:spacing w:val="10"/>
      <w:sz w:val="18"/>
      <w:szCs w:val="18"/>
    </w:rPr>
  </w:style>
  <w:style w:type="character" w:customStyle="1" w:styleId="Heading9Char">
    <w:name w:val="Heading 9 Char"/>
    <w:basedOn w:val="DefaultParagraphFont"/>
    <w:link w:val="Heading9"/>
    <w:uiPriority w:val="9"/>
    <w:semiHidden/>
    <w:rsid w:val="0066399C"/>
    <w:rPr>
      <w:i/>
      <w:caps/>
      <w:spacing w:val="10"/>
      <w:sz w:val="18"/>
      <w:szCs w:val="18"/>
    </w:rPr>
  </w:style>
  <w:style w:type="paragraph" w:styleId="Caption">
    <w:name w:val="caption"/>
    <w:basedOn w:val="Normal"/>
    <w:next w:val="Normal"/>
    <w:uiPriority w:val="35"/>
    <w:semiHidden/>
    <w:unhideWhenUsed/>
    <w:qFormat/>
    <w:rsid w:val="0066399C"/>
    <w:rPr>
      <w:b/>
      <w:bCs/>
      <w:color w:val="365F91" w:themeColor="accent1" w:themeShade="BF"/>
      <w:sz w:val="16"/>
      <w:szCs w:val="16"/>
    </w:rPr>
  </w:style>
  <w:style w:type="paragraph" w:styleId="Title">
    <w:name w:val="Title"/>
    <w:basedOn w:val="Normal"/>
    <w:next w:val="Normal"/>
    <w:link w:val="TitleChar"/>
    <w:uiPriority w:val="10"/>
    <w:qFormat/>
    <w:rsid w:val="0066399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6399C"/>
    <w:rPr>
      <w:caps/>
      <w:color w:val="4F81BD" w:themeColor="accent1"/>
      <w:spacing w:val="10"/>
      <w:kern w:val="28"/>
      <w:sz w:val="52"/>
      <w:szCs w:val="52"/>
    </w:rPr>
  </w:style>
  <w:style w:type="paragraph" w:styleId="Subtitle">
    <w:name w:val="Subtitle"/>
    <w:basedOn w:val="Normal"/>
    <w:next w:val="Normal"/>
    <w:link w:val="SubtitleChar"/>
    <w:uiPriority w:val="11"/>
    <w:qFormat/>
    <w:rsid w:val="0066399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6399C"/>
    <w:rPr>
      <w:caps/>
      <w:color w:val="595959" w:themeColor="text1" w:themeTint="A6"/>
      <w:spacing w:val="10"/>
      <w:sz w:val="24"/>
      <w:szCs w:val="24"/>
    </w:rPr>
  </w:style>
  <w:style w:type="character" w:styleId="Strong">
    <w:name w:val="Strong"/>
    <w:uiPriority w:val="22"/>
    <w:qFormat/>
    <w:rsid w:val="0066399C"/>
    <w:rPr>
      <w:b/>
      <w:bCs/>
    </w:rPr>
  </w:style>
  <w:style w:type="character" w:styleId="Emphasis">
    <w:name w:val="Emphasis"/>
    <w:uiPriority w:val="20"/>
    <w:qFormat/>
    <w:rsid w:val="0066399C"/>
    <w:rPr>
      <w:caps/>
      <w:color w:val="243F60" w:themeColor="accent1" w:themeShade="7F"/>
      <w:spacing w:val="5"/>
    </w:rPr>
  </w:style>
  <w:style w:type="paragraph" w:styleId="NoSpacing">
    <w:name w:val="No Spacing"/>
    <w:basedOn w:val="Normal"/>
    <w:link w:val="NoSpacingChar"/>
    <w:uiPriority w:val="1"/>
    <w:qFormat/>
    <w:rsid w:val="0066399C"/>
    <w:pPr>
      <w:spacing w:before="0" w:after="0" w:line="240" w:lineRule="auto"/>
    </w:pPr>
  </w:style>
  <w:style w:type="character" w:customStyle="1" w:styleId="NoSpacingChar">
    <w:name w:val="No Spacing Char"/>
    <w:basedOn w:val="DefaultParagraphFont"/>
    <w:link w:val="NoSpacing"/>
    <w:uiPriority w:val="1"/>
    <w:rsid w:val="0066399C"/>
    <w:rPr>
      <w:sz w:val="20"/>
      <w:szCs w:val="20"/>
    </w:rPr>
  </w:style>
  <w:style w:type="paragraph" w:styleId="Quote">
    <w:name w:val="Quote"/>
    <w:basedOn w:val="Normal"/>
    <w:next w:val="Normal"/>
    <w:link w:val="QuoteChar"/>
    <w:uiPriority w:val="29"/>
    <w:qFormat/>
    <w:rsid w:val="0066399C"/>
    <w:rPr>
      <w:i/>
      <w:iCs/>
    </w:rPr>
  </w:style>
  <w:style w:type="character" w:customStyle="1" w:styleId="QuoteChar">
    <w:name w:val="Quote Char"/>
    <w:basedOn w:val="DefaultParagraphFont"/>
    <w:link w:val="Quote"/>
    <w:uiPriority w:val="29"/>
    <w:rsid w:val="0066399C"/>
    <w:rPr>
      <w:i/>
      <w:iCs/>
      <w:sz w:val="20"/>
      <w:szCs w:val="20"/>
    </w:rPr>
  </w:style>
  <w:style w:type="paragraph" w:styleId="IntenseQuote">
    <w:name w:val="Intense Quote"/>
    <w:basedOn w:val="Normal"/>
    <w:next w:val="Normal"/>
    <w:link w:val="IntenseQuoteChar"/>
    <w:uiPriority w:val="30"/>
    <w:qFormat/>
    <w:rsid w:val="0066399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6399C"/>
    <w:rPr>
      <w:i/>
      <w:iCs/>
      <w:color w:val="4F81BD" w:themeColor="accent1"/>
      <w:sz w:val="20"/>
      <w:szCs w:val="20"/>
    </w:rPr>
  </w:style>
  <w:style w:type="character" w:styleId="SubtleEmphasis">
    <w:name w:val="Subtle Emphasis"/>
    <w:uiPriority w:val="19"/>
    <w:qFormat/>
    <w:rsid w:val="0066399C"/>
    <w:rPr>
      <w:i/>
      <w:iCs/>
      <w:color w:val="243F60" w:themeColor="accent1" w:themeShade="7F"/>
    </w:rPr>
  </w:style>
  <w:style w:type="character" w:styleId="IntenseEmphasis">
    <w:name w:val="Intense Emphasis"/>
    <w:uiPriority w:val="21"/>
    <w:qFormat/>
    <w:rsid w:val="0066399C"/>
    <w:rPr>
      <w:b/>
      <w:bCs/>
      <w:caps/>
      <w:color w:val="243F60" w:themeColor="accent1" w:themeShade="7F"/>
      <w:spacing w:val="10"/>
    </w:rPr>
  </w:style>
  <w:style w:type="character" w:styleId="SubtleReference">
    <w:name w:val="Subtle Reference"/>
    <w:uiPriority w:val="31"/>
    <w:qFormat/>
    <w:rsid w:val="0066399C"/>
    <w:rPr>
      <w:b/>
      <w:bCs/>
      <w:color w:val="4F81BD" w:themeColor="accent1"/>
    </w:rPr>
  </w:style>
  <w:style w:type="character" w:styleId="BookTitle">
    <w:name w:val="Book Title"/>
    <w:uiPriority w:val="33"/>
    <w:qFormat/>
    <w:rsid w:val="0066399C"/>
    <w:rPr>
      <w:b/>
      <w:bCs/>
      <w:i/>
      <w:iCs/>
      <w:spacing w:val="9"/>
    </w:rPr>
  </w:style>
  <w:style w:type="paragraph" w:styleId="TOCHeading">
    <w:name w:val="TOC Heading"/>
    <w:basedOn w:val="Heading1"/>
    <w:next w:val="Normal"/>
    <w:uiPriority w:val="39"/>
    <w:semiHidden/>
    <w:unhideWhenUsed/>
    <w:qFormat/>
    <w:rsid w:val="0066399C"/>
    <w:pPr>
      <w:outlineLvl w:val="9"/>
    </w:pPr>
    <w:rPr>
      <w:lang w:bidi="en-US"/>
    </w:rPr>
  </w:style>
  <w:style w:type="character" w:styleId="CommentReference">
    <w:name w:val="annotation reference"/>
    <w:basedOn w:val="DefaultParagraphFont"/>
    <w:uiPriority w:val="99"/>
    <w:semiHidden/>
    <w:unhideWhenUsed/>
    <w:rsid w:val="004512A6"/>
    <w:rPr>
      <w:sz w:val="18"/>
      <w:szCs w:val="18"/>
    </w:rPr>
  </w:style>
  <w:style w:type="paragraph" w:styleId="CommentText">
    <w:name w:val="annotation text"/>
    <w:basedOn w:val="Normal"/>
    <w:link w:val="CommentTextChar"/>
    <w:uiPriority w:val="99"/>
    <w:semiHidden/>
    <w:unhideWhenUsed/>
    <w:rsid w:val="004512A6"/>
    <w:pPr>
      <w:spacing w:line="240" w:lineRule="auto"/>
    </w:pPr>
    <w:rPr>
      <w:sz w:val="24"/>
      <w:szCs w:val="24"/>
    </w:rPr>
  </w:style>
  <w:style w:type="character" w:customStyle="1" w:styleId="CommentTextChar">
    <w:name w:val="Comment Text Char"/>
    <w:basedOn w:val="DefaultParagraphFont"/>
    <w:link w:val="CommentText"/>
    <w:uiPriority w:val="99"/>
    <w:semiHidden/>
    <w:rsid w:val="004512A6"/>
    <w:rPr>
      <w:sz w:val="24"/>
      <w:szCs w:val="24"/>
    </w:rPr>
  </w:style>
  <w:style w:type="paragraph" w:styleId="CommentSubject">
    <w:name w:val="annotation subject"/>
    <w:basedOn w:val="CommentText"/>
    <w:next w:val="CommentText"/>
    <w:link w:val="CommentSubjectChar"/>
    <w:uiPriority w:val="99"/>
    <w:semiHidden/>
    <w:unhideWhenUsed/>
    <w:rsid w:val="004512A6"/>
    <w:rPr>
      <w:b/>
      <w:bCs/>
      <w:sz w:val="20"/>
      <w:szCs w:val="20"/>
    </w:rPr>
  </w:style>
  <w:style w:type="character" w:customStyle="1" w:styleId="CommentSubjectChar">
    <w:name w:val="Comment Subject Char"/>
    <w:basedOn w:val="CommentTextChar"/>
    <w:link w:val="CommentSubject"/>
    <w:uiPriority w:val="99"/>
    <w:semiHidden/>
    <w:rsid w:val="004512A6"/>
    <w:rPr>
      <w:b/>
      <w:bCs/>
      <w:sz w:val="20"/>
      <w:szCs w:val="20"/>
    </w:rPr>
  </w:style>
  <w:style w:type="character" w:customStyle="1" w:styleId="hps">
    <w:name w:val="hps"/>
    <w:basedOn w:val="DefaultParagraphFont"/>
    <w:rsid w:val="00156B24"/>
  </w:style>
  <w:style w:type="paragraph" w:styleId="Header">
    <w:name w:val="header"/>
    <w:basedOn w:val="Normal"/>
    <w:link w:val="HeaderChar"/>
    <w:uiPriority w:val="99"/>
    <w:unhideWhenUsed/>
    <w:rsid w:val="002062B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062BB"/>
    <w:rPr>
      <w:sz w:val="20"/>
      <w:szCs w:val="20"/>
    </w:rPr>
  </w:style>
  <w:style w:type="paragraph" w:styleId="Footer">
    <w:name w:val="footer"/>
    <w:basedOn w:val="Normal"/>
    <w:link w:val="FooterChar"/>
    <w:uiPriority w:val="99"/>
    <w:unhideWhenUsed/>
    <w:rsid w:val="002062B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2062BB"/>
    <w:rPr>
      <w:sz w:val="20"/>
      <w:szCs w:val="20"/>
    </w:rPr>
  </w:style>
  <w:style w:type="paragraph" w:customStyle="1" w:styleId="ZchnZchn">
    <w:name w:val="Zchn Zchn"/>
    <w:basedOn w:val="Normal"/>
    <w:autoRedefine/>
    <w:rsid w:val="00E33A2D"/>
    <w:pPr>
      <w:widowControl w:val="0"/>
      <w:tabs>
        <w:tab w:val="num" w:pos="840"/>
      </w:tabs>
      <w:spacing w:before="0" w:after="0" w:line="240" w:lineRule="auto"/>
      <w:ind w:left="840" w:hanging="360"/>
      <w:jc w:val="both"/>
    </w:pPr>
    <w:rPr>
      <w:rFonts w:ascii="Times New Roman" w:eastAsia="SimSun" w:hAnsi="Times New Roman" w:cs="Times New Roman"/>
      <w:kern w:val="2"/>
      <w:sz w:val="24"/>
      <w:szCs w:val="24"/>
      <w:lang w:val="en-US" w:eastAsia="zh-CN"/>
    </w:rPr>
  </w:style>
  <w:style w:type="paragraph" w:styleId="Revision">
    <w:name w:val="Revision"/>
    <w:hidden/>
    <w:uiPriority w:val="99"/>
    <w:semiHidden/>
    <w:rsid w:val="008B47B9"/>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655">
      <w:bodyDiv w:val="1"/>
      <w:marLeft w:val="0"/>
      <w:marRight w:val="0"/>
      <w:marTop w:val="0"/>
      <w:marBottom w:val="0"/>
      <w:divBdr>
        <w:top w:val="none" w:sz="0" w:space="0" w:color="auto"/>
        <w:left w:val="none" w:sz="0" w:space="0" w:color="auto"/>
        <w:bottom w:val="none" w:sz="0" w:space="0" w:color="auto"/>
        <w:right w:val="none" w:sz="0" w:space="0" w:color="auto"/>
      </w:divBdr>
      <w:divsChild>
        <w:div w:id="749959293">
          <w:marLeft w:val="0"/>
          <w:marRight w:val="0"/>
          <w:marTop w:val="0"/>
          <w:marBottom w:val="0"/>
          <w:divBdr>
            <w:top w:val="none" w:sz="0" w:space="0" w:color="auto"/>
            <w:left w:val="none" w:sz="0" w:space="0" w:color="auto"/>
            <w:bottom w:val="none" w:sz="0" w:space="0" w:color="auto"/>
            <w:right w:val="none" w:sz="0" w:space="0" w:color="auto"/>
          </w:divBdr>
          <w:divsChild>
            <w:div w:id="164711517">
              <w:marLeft w:val="0"/>
              <w:marRight w:val="0"/>
              <w:marTop w:val="0"/>
              <w:marBottom w:val="0"/>
              <w:divBdr>
                <w:top w:val="none" w:sz="0" w:space="0" w:color="auto"/>
                <w:left w:val="none" w:sz="0" w:space="0" w:color="auto"/>
                <w:bottom w:val="none" w:sz="0" w:space="0" w:color="auto"/>
                <w:right w:val="none" w:sz="0" w:space="0" w:color="auto"/>
              </w:divBdr>
              <w:divsChild>
                <w:div w:id="11189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9478">
      <w:bodyDiv w:val="1"/>
      <w:marLeft w:val="0"/>
      <w:marRight w:val="0"/>
      <w:marTop w:val="0"/>
      <w:marBottom w:val="0"/>
      <w:divBdr>
        <w:top w:val="none" w:sz="0" w:space="0" w:color="auto"/>
        <w:left w:val="none" w:sz="0" w:space="0" w:color="auto"/>
        <w:bottom w:val="none" w:sz="0" w:space="0" w:color="auto"/>
        <w:right w:val="none" w:sz="0" w:space="0" w:color="auto"/>
      </w:divBdr>
    </w:div>
    <w:div w:id="405765120">
      <w:bodyDiv w:val="1"/>
      <w:marLeft w:val="0"/>
      <w:marRight w:val="0"/>
      <w:marTop w:val="0"/>
      <w:marBottom w:val="0"/>
      <w:divBdr>
        <w:top w:val="none" w:sz="0" w:space="0" w:color="auto"/>
        <w:left w:val="none" w:sz="0" w:space="0" w:color="auto"/>
        <w:bottom w:val="none" w:sz="0" w:space="0" w:color="auto"/>
        <w:right w:val="none" w:sz="0" w:space="0" w:color="auto"/>
      </w:divBdr>
    </w:div>
    <w:div w:id="536357753">
      <w:bodyDiv w:val="1"/>
      <w:marLeft w:val="0"/>
      <w:marRight w:val="0"/>
      <w:marTop w:val="0"/>
      <w:marBottom w:val="0"/>
      <w:divBdr>
        <w:top w:val="none" w:sz="0" w:space="0" w:color="auto"/>
        <w:left w:val="none" w:sz="0" w:space="0" w:color="auto"/>
        <w:bottom w:val="none" w:sz="0" w:space="0" w:color="auto"/>
        <w:right w:val="none" w:sz="0" w:space="0" w:color="auto"/>
      </w:divBdr>
    </w:div>
    <w:div w:id="552738601">
      <w:bodyDiv w:val="1"/>
      <w:marLeft w:val="0"/>
      <w:marRight w:val="0"/>
      <w:marTop w:val="0"/>
      <w:marBottom w:val="0"/>
      <w:divBdr>
        <w:top w:val="none" w:sz="0" w:space="0" w:color="auto"/>
        <w:left w:val="none" w:sz="0" w:space="0" w:color="auto"/>
        <w:bottom w:val="none" w:sz="0" w:space="0" w:color="auto"/>
        <w:right w:val="none" w:sz="0" w:space="0" w:color="auto"/>
      </w:divBdr>
    </w:div>
    <w:div w:id="594247024">
      <w:bodyDiv w:val="1"/>
      <w:marLeft w:val="0"/>
      <w:marRight w:val="0"/>
      <w:marTop w:val="0"/>
      <w:marBottom w:val="0"/>
      <w:divBdr>
        <w:top w:val="none" w:sz="0" w:space="0" w:color="auto"/>
        <w:left w:val="none" w:sz="0" w:space="0" w:color="auto"/>
        <w:bottom w:val="none" w:sz="0" w:space="0" w:color="auto"/>
        <w:right w:val="none" w:sz="0" w:space="0" w:color="auto"/>
      </w:divBdr>
      <w:divsChild>
        <w:div w:id="1367675192">
          <w:marLeft w:val="0"/>
          <w:marRight w:val="0"/>
          <w:marTop w:val="0"/>
          <w:marBottom w:val="0"/>
          <w:divBdr>
            <w:top w:val="none" w:sz="0" w:space="0" w:color="auto"/>
            <w:left w:val="none" w:sz="0" w:space="0" w:color="auto"/>
            <w:bottom w:val="none" w:sz="0" w:space="0" w:color="auto"/>
            <w:right w:val="none" w:sz="0" w:space="0" w:color="auto"/>
          </w:divBdr>
          <w:divsChild>
            <w:div w:id="1087966334">
              <w:marLeft w:val="0"/>
              <w:marRight w:val="0"/>
              <w:marTop w:val="0"/>
              <w:marBottom w:val="0"/>
              <w:divBdr>
                <w:top w:val="none" w:sz="0" w:space="0" w:color="auto"/>
                <w:left w:val="none" w:sz="0" w:space="0" w:color="auto"/>
                <w:bottom w:val="none" w:sz="0" w:space="0" w:color="auto"/>
                <w:right w:val="none" w:sz="0" w:space="0" w:color="auto"/>
              </w:divBdr>
              <w:divsChild>
                <w:div w:id="18093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3180">
      <w:bodyDiv w:val="1"/>
      <w:marLeft w:val="0"/>
      <w:marRight w:val="0"/>
      <w:marTop w:val="0"/>
      <w:marBottom w:val="0"/>
      <w:divBdr>
        <w:top w:val="none" w:sz="0" w:space="0" w:color="auto"/>
        <w:left w:val="none" w:sz="0" w:space="0" w:color="auto"/>
        <w:bottom w:val="none" w:sz="0" w:space="0" w:color="auto"/>
        <w:right w:val="none" w:sz="0" w:space="0" w:color="auto"/>
      </w:divBdr>
    </w:div>
    <w:div w:id="1223129403">
      <w:bodyDiv w:val="1"/>
      <w:marLeft w:val="0"/>
      <w:marRight w:val="0"/>
      <w:marTop w:val="0"/>
      <w:marBottom w:val="0"/>
      <w:divBdr>
        <w:top w:val="none" w:sz="0" w:space="0" w:color="auto"/>
        <w:left w:val="none" w:sz="0" w:space="0" w:color="auto"/>
        <w:bottom w:val="none" w:sz="0" w:space="0" w:color="auto"/>
        <w:right w:val="none" w:sz="0" w:space="0" w:color="auto"/>
      </w:divBdr>
    </w:div>
    <w:div w:id="1421413569">
      <w:bodyDiv w:val="1"/>
      <w:marLeft w:val="0"/>
      <w:marRight w:val="0"/>
      <w:marTop w:val="0"/>
      <w:marBottom w:val="0"/>
      <w:divBdr>
        <w:top w:val="none" w:sz="0" w:space="0" w:color="auto"/>
        <w:left w:val="none" w:sz="0" w:space="0" w:color="auto"/>
        <w:bottom w:val="none" w:sz="0" w:space="0" w:color="auto"/>
        <w:right w:val="none" w:sz="0" w:space="0" w:color="auto"/>
      </w:divBdr>
    </w:div>
    <w:div w:id="1442648515">
      <w:bodyDiv w:val="1"/>
      <w:marLeft w:val="0"/>
      <w:marRight w:val="0"/>
      <w:marTop w:val="0"/>
      <w:marBottom w:val="0"/>
      <w:divBdr>
        <w:top w:val="none" w:sz="0" w:space="0" w:color="auto"/>
        <w:left w:val="none" w:sz="0" w:space="0" w:color="auto"/>
        <w:bottom w:val="none" w:sz="0" w:space="0" w:color="auto"/>
        <w:right w:val="none" w:sz="0" w:space="0" w:color="auto"/>
      </w:divBdr>
    </w:div>
    <w:div w:id="1478299131">
      <w:bodyDiv w:val="1"/>
      <w:marLeft w:val="0"/>
      <w:marRight w:val="0"/>
      <w:marTop w:val="0"/>
      <w:marBottom w:val="0"/>
      <w:divBdr>
        <w:top w:val="none" w:sz="0" w:space="0" w:color="auto"/>
        <w:left w:val="none" w:sz="0" w:space="0" w:color="auto"/>
        <w:bottom w:val="none" w:sz="0" w:space="0" w:color="auto"/>
        <w:right w:val="none" w:sz="0" w:space="0" w:color="auto"/>
      </w:divBdr>
    </w:div>
    <w:div w:id="1500734906">
      <w:bodyDiv w:val="1"/>
      <w:marLeft w:val="0"/>
      <w:marRight w:val="0"/>
      <w:marTop w:val="0"/>
      <w:marBottom w:val="0"/>
      <w:divBdr>
        <w:top w:val="none" w:sz="0" w:space="0" w:color="auto"/>
        <w:left w:val="none" w:sz="0" w:space="0" w:color="auto"/>
        <w:bottom w:val="none" w:sz="0" w:space="0" w:color="auto"/>
        <w:right w:val="none" w:sz="0" w:space="0" w:color="auto"/>
      </w:divBdr>
    </w:div>
    <w:div w:id="1540507406">
      <w:bodyDiv w:val="1"/>
      <w:marLeft w:val="0"/>
      <w:marRight w:val="0"/>
      <w:marTop w:val="0"/>
      <w:marBottom w:val="0"/>
      <w:divBdr>
        <w:top w:val="none" w:sz="0" w:space="0" w:color="auto"/>
        <w:left w:val="none" w:sz="0" w:space="0" w:color="auto"/>
        <w:bottom w:val="none" w:sz="0" w:space="0" w:color="auto"/>
        <w:right w:val="none" w:sz="0" w:space="0" w:color="auto"/>
      </w:divBdr>
    </w:div>
    <w:div w:id="1677534416">
      <w:bodyDiv w:val="1"/>
      <w:marLeft w:val="0"/>
      <w:marRight w:val="0"/>
      <w:marTop w:val="0"/>
      <w:marBottom w:val="0"/>
      <w:divBdr>
        <w:top w:val="none" w:sz="0" w:space="0" w:color="auto"/>
        <w:left w:val="none" w:sz="0" w:space="0" w:color="auto"/>
        <w:bottom w:val="none" w:sz="0" w:space="0" w:color="auto"/>
        <w:right w:val="none" w:sz="0" w:space="0" w:color="auto"/>
      </w:divBdr>
    </w:div>
    <w:div w:id="1718043798">
      <w:bodyDiv w:val="1"/>
      <w:marLeft w:val="0"/>
      <w:marRight w:val="0"/>
      <w:marTop w:val="0"/>
      <w:marBottom w:val="0"/>
      <w:divBdr>
        <w:top w:val="none" w:sz="0" w:space="0" w:color="auto"/>
        <w:left w:val="none" w:sz="0" w:space="0" w:color="auto"/>
        <w:bottom w:val="none" w:sz="0" w:space="0" w:color="auto"/>
        <w:right w:val="none" w:sz="0" w:space="0" w:color="auto"/>
      </w:divBdr>
    </w:div>
    <w:div w:id="1890997200">
      <w:bodyDiv w:val="1"/>
      <w:marLeft w:val="0"/>
      <w:marRight w:val="0"/>
      <w:marTop w:val="0"/>
      <w:marBottom w:val="0"/>
      <w:divBdr>
        <w:top w:val="none" w:sz="0" w:space="0" w:color="auto"/>
        <w:left w:val="none" w:sz="0" w:space="0" w:color="auto"/>
        <w:bottom w:val="none" w:sz="0" w:space="0" w:color="auto"/>
        <w:right w:val="none" w:sz="0" w:space="0" w:color="auto"/>
      </w:divBdr>
    </w:div>
    <w:div w:id="1911962644">
      <w:bodyDiv w:val="1"/>
      <w:marLeft w:val="0"/>
      <w:marRight w:val="0"/>
      <w:marTop w:val="0"/>
      <w:marBottom w:val="0"/>
      <w:divBdr>
        <w:top w:val="none" w:sz="0" w:space="0" w:color="auto"/>
        <w:left w:val="none" w:sz="0" w:space="0" w:color="auto"/>
        <w:bottom w:val="none" w:sz="0" w:space="0" w:color="auto"/>
        <w:right w:val="none" w:sz="0" w:space="0" w:color="auto"/>
      </w:divBdr>
      <w:divsChild>
        <w:div w:id="29578038">
          <w:marLeft w:val="0"/>
          <w:marRight w:val="0"/>
          <w:marTop w:val="0"/>
          <w:marBottom w:val="0"/>
          <w:divBdr>
            <w:top w:val="none" w:sz="0" w:space="0" w:color="auto"/>
            <w:left w:val="none" w:sz="0" w:space="0" w:color="auto"/>
            <w:bottom w:val="none" w:sz="0" w:space="0" w:color="auto"/>
            <w:right w:val="none" w:sz="0" w:space="0" w:color="auto"/>
          </w:divBdr>
          <w:divsChild>
            <w:div w:id="1658000205">
              <w:marLeft w:val="0"/>
              <w:marRight w:val="0"/>
              <w:marTop w:val="0"/>
              <w:marBottom w:val="0"/>
              <w:divBdr>
                <w:top w:val="none" w:sz="0" w:space="0" w:color="auto"/>
                <w:left w:val="none" w:sz="0" w:space="0" w:color="auto"/>
                <w:bottom w:val="none" w:sz="0" w:space="0" w:color="auto"/>
                <w:right w:val="none" w:sz="0" w:space="0" w:color="auto"/>
              </w:divBdr>
              <w:divsChild>
                <w:div w:id="17185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25" Type="http://schemas.microsoft.com/office/2018/08/relationships/commentsExtensible" Target="commentsExtensible.xml"/>
  <Relationship Id="rId26" Type="http://schemas.microsoft.com/office/2016/09/relationships/commentsIds" Target="commentsId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EA22-F7D6-409C-8401-E44248A0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Foyer</Company>
  <LinksUpToDate>false</LinksUpToDate>
  <CharactersWithSpaces>10182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2020-09-23T19:07:00Z</dcterms:created>
  <dc:creator>bia</dc:creator>
  <lastModifiedBy>MinFin</lastModifiedBy>
  <lastPrinted>2020-08-28T06:29:00Z</lastPrinted>
  <dcterms:modified xsi:type="dcterms:W3CDTF">2020-09-28T09:53:00Z</dcterms:modified>
  <revision>11</revision>
</coreProperties>
</file>